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9B" w:rsidRDefault="006215D1" w:rsidP="006215D1">
      <w:pPr>
        <w:jc w:val="right"/>
        <w:rPr>
          <w:rFonts w:ascii="Arial" w:hAnsi="Arial" w:cs="Arial"/>
          <w:sz w:val="32"/>
        </w:rPr>
      </w:pPr>
      <w:r w:rsidRPr="006215D1">
        <w:rPr>
          <w:rFonts w:ascii="Arial" w:hAnsi="Arial" w:cs="Arial"/>
          <w:noProof/>
          <w:color w:val="808080"/>
        </w:rPr>
        <w:drawing>
          <wp:inline distT="0" distB="0" distL="0" distR="0" wp14:anchorId="6C95051C" wp14:editId="2BF1F870">
            <wp:extent cx="924791" cy="1571094"/>
            <wp:effectExtent l="0" t="0" r="8890"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7" cstate="print"/>
                    <a:srcRect/>
                    <a:stretch>
                      <a:fillRect/>
                    </a:stretch>
                  </pic:blipFill>
                  <pic:spPr bwMode="auto">
                    <a:xfrm>
                      <a:off x="0" y="0"/>
                      <a:ext cx="927196" cy="1575180"/>
                    </a:xfrm>
                    <a:prstGeom prst="rect">
                      <a:avLst/>
                    </a:prstGeom>
                    <a:noFill/>
                    <a:ln w="9525">
                      <a:noFill/>
                      <a:miter lim="800000"/>
                      <a:headEnd/>
                      <a:tailEnd/>
                    </a:ln>
                  </pic:spPr>
                </pic:pic>
              </a:graphicData>
            </a:graphic>
          </wp:inline>
        </w:drawing>
      </w:r>
      <w:r>
        <w:rPr>
          <w:rFonts w:ascii="Arial" w:hAnsi="Arial" w:cs="Arial"/>
          <w:sz w:val="32"/>
        </w:rPr>
        <w:br w:type="column"/>
      </w:r>
    </w:p>
    <w:p w:rsidR="00FD7F14" w:rsidRDefault="006215D1" w:rsidP="006215D1">
      <w:pPr>
        <w:jc w:val="right"/>
        <w:rPr>
          <w:rFonts w:ascii="Arial" w:hAnsi="Arial" w:cs="Arial"/>
          <w:sz w:val="32"/>
        </w:rPr>
      </w:pPr>
      <w:r>
        <w:rPr>
          <w:rFonts w:ascii="Arial" w:hAnsi="Arial" w:cs="Arial"/>
          <w:sz w:val="32"/>
        </w:rPr>
        <w:t>NCCSD Imputation Committee</w:t>
      </w:r>
    </w:p>
    <w:p w:rsidR="006215D1" w:rsidRPr="006215D1" w:rsidRDefault="006215D1" w:rsidP="006215D1">
      <w:pPr>
        <w:jc w:val="right"/>
        <w:rPr>
          <w:rFonts w:ascii="Arial" w:hAnsi="Arial" w:cs="Arial"/>
          <w:sz w:val="24"/>
        </w:rPr>
      </w:pPr>
    </w:p>
    <w:p w:rsidR="006215D1" w:rsidRPr="00FD2D9B" w:rsidRDefault="006215D1" w:rsidP="006215D1">
      <w:pPr>
        <w:jc w:val="right"/>
        <w:rPr>
          <w:rFonts w:ascii="Arial" w:hAnsi="Arial" w:cs="Arial"/>
          <w:sz w:val="28"/>
        </w:rPr>
      </w:pPr>
      <w:r w:rsidRPr="00FD2D9B">
        <w:rPr>
          <w:rFonts w:ascii="Arial" w:hAnsi="Arial" w:cs="Arial"/>
          <w:sz w:val="28"/>
        </w:rPr>
        <w:t>September 1, 2015</w:t>
      </w:r>
    </w:p>
    <w:p w:rsidR="006215D1" w:rsidRPr="00FD2D9B" w:rsidRDefault="006215D1" w:rsidP="006215D1">
      <w:pPr>
        <w:jc w:val="right"/>
        <w:rPr>
          <w:rFonts w:ascii="Arial" w:hAnsi="Arial" w:cs="Arial"/>
          <w:sz w:val="28"/>
        </w:rPr>
      </w:pPr>
      <w:r w:rsidRPr="00FD2D9B">
        <w:rPr>
          <w:rFonts w:ascii="Arial" w:hAnsi="Arial" w:cs="Arial"/>
          <w:sz w:val="28"/>
        </w:rPr>
        <w:t>4:00 PM Eastern</w:t>
      </w:r>
    </w:p>
    <w:p w:rsidR="006215D1" w:rsidRPr="00FD2D9B" w:rsidRDefault="006215D1" w:rsidP="006215D1">
      <w:pPr>
        <w:jc w:val="right"/>
        <w:rPr>
          <w:rFonts w:ascii="Arial" w:hAnsi="Arial" w:cs="Arial"/>
          <w:sz w:val="28"/>
        </w:rPr>
      </w:pPr>
      <w:r w:rsidRPr="00FD2D9B">
        <w:rPr>
          <w:rFonts w:ascii="Arial" w:hAnsi="Arial" w:cs="Arial"/>
          <w:sz w:val="28"/>
        </w:rPr>
        <w:t xml:space="preserve">712-775-7031 </w:t>
      </w:r>
    </w:p>
    <w:p w:rsidR="006215D1" w:rsidRPr="00FD2D9B" w:rsidRDefault="006215D1" w:rsidP="006215D1">
      <w:pPr>
        <w:jc w:val="right"/>
        <w:rPr>
          <w:rFonts w:ascii="Arial" w:hAnsi="Arial" w:cs="Arial"/>
          <w:sz w:val="28"/>
        </w:rPr>
      </w:pPr>
      <w:r w:rsidRPr="00FD2D9B">
        <w:rPr>
          <w:rFonts w:ascii="Arial" w:hAnsi="Arial" w:cs="Arial"/>
          <w:sz w:val="28"/>
        </w:rPr>
        <w:t>Access Code 703338</w:t>
      </w:r>
    </w:p>
    <w:p w:rsidR="006215D1" w:rsidRDefault="006215D1" w:rsidP="006215D1">
      <w:pPr>
        <w:jc w:val="center"/>
        <w:rPr>
          <w:rFonts w:ascii="Arial" w:hAnsi="Arial" w:cs="Arial"/>
          <w:sz w:val="32"/>
        </w:rPr>
        <w:sectPr w:rsidR="006215D1" w:rsidSect="006215D1">
          <w:pgSz w:w="12240" w:h="15840"/>
          <w:pgMar w:top="1440" w:right="1440" w:bottom="1440" w:left="1440" w:header="720" w:footer="720" w:gutter="0"/>
          <w:cols w:num="2" w:space="540" w:equalWidth="0">
            <w:col w:w="1620" w:space="270"/>
            <w:col w:w="7470"/>
          </w:cols>
          <w:docGrid w:linePitch="360"/>
        </w:sectPr>
      </w:pPr>
    </w:p>
    <w:p w:rsidR="006215D1" w:rsidRPr="006215D1" w:rsidRDefault="00091657" w:rsidP="006215D1">
      <w:pPr>
        <w:jc w:val="center"/>
        <w:rPr>
          <w:rFonts w:ascii="Arial" w:hAnsi="Arial" w:cs="Arial"/>
          <w:sz w:val="32"/>
          <w:u w:val="single"/>
        </w:rPr>
      </w:pPr>
      <w:r>
        <w:rPr>
          <w:rFonts w:ascii="Arial" w:hAnsi="Arial" w:cs="Arial"/>
          <w:sz w:val="32"/>
          <w:u w:val="single"/>
        </w:rPr>
        <w:lastRenderedPageBreak/>
        <w:t>NOTES</w:t>
      </w:r>
    </w:p>
    <w:p w:rsidR="006215D1" w:rsidRDefault="006215D1">
      <w:pPr>
        <w:rPr>
          <w:rFonts w:ascii="Arial" w:hAnsi="Arial" w:cs="Arial"/>
          <w:sz w:val="32"/>
        </w:rPr>
        <w:sectPr w:rsidR="006215D1" w:rsidSect="006215D1">
          <w:type w:val="continuous"/>
          <w:pgSz w:w="12240" w:h="15840"/>
          <w:pgMar w:top="1440" w:right="1440" w:bottom="1440" w:left="1440" w:header="720" w:footer="720" w:gutter="0"/>
          <w:cols w:space="270"/>
          <w:docGrid w:linePitch="360"/>
        </w:sectPr>
      </w:pPr>
    </w:p>
    <w:p w:rsidR="006215D1" w:rsidRDefault="006215D1" w:rsidP="006215D1">
      <w:pPr>
        <w:rPr>
          <w:rFonts w:ascii="Arial" w:hAnsi="Arial" w:cs="Arial"/>
          <w:sz w:val="24"/>
        </w:rPr>
      </w:pPr>
    </w:p>
    <w:p w:rsidR="006215D1" w:rsidRDefault="006215D1" w:rsidP="006215D1">
      <w:pPr>
        <w:pStyle w:val="ListParagraph"/>
        <w:numPr>
          <w:ilvl w:val="0"/>
          <w:numId w:val="2"/>
        </w:numPr>
        <w:ind w:left="360"/>
        <w:rPr>
          <w:rFonts w:ascii="Arial" w:hAnsi="Arial" w:cs="Arial"/>
          <w:sz w:val="24"/>
        </w:rPr>
      </w:pPr>
      <w:r>
        <w:rPr>
          <w:rFonts w:ascii="Arial" w:hAnsi="Arial" w:cs="Arial"/>
          <w:sz w:val="24"/>
        </w:rPr>
        <w:t>Roll Call</w:t>
      </w:r>
    </w:p>
    <w:p w:rsidR="00AC30E7" w:rsidRDefault="00AC30E7" w:rsidP="006215D1">
      <w:pPr>
        <w:ind w:left="360"/>
        <w:rPr>
          <w:rFonts w:ascii="Arial" w:hAnsi="Arial" w:cs="Arial"/>
          <w:sz w:val="24"/>
        </w:rPr>
      </w:pPr>
    </w:p>
    <w:p w:rsidR="00AC30E7" w:rsidRDefault="00AC30E7" w:rsidP="006215D1">
      <w:pPr>
        <w:ind w:left="360"/>
        <w:rPr>
          <w:rFonts w:ascii="Arial" w:hAnsi="Arial" w:cs="Arial"/>
          <w:sz w:val="24"/>
        </w:rPr>
        <w:sectPr w:rsidR="00AC30E7" w:rsidSect="006215D1">
          <w:type w:val="continuous"/>
          <w:pgSz w:w="12240" w:h="15840"/>
          <w:pgMar w:top="1440" w:right="1440" w:bottom="1440" w:left="1440" w:header="720" w:footer="720" w:gutter="0"/>
          <w:cols w:space="720"/>
          <w:docGrid w:linePitch="360"/>
        </w:sectPr>
      </w:pPr>
    </w:p>
    <w:p w:rsidR="006215D1" w:rsidRDefault="00091657" w:rsidP="006215D1">
      <w:pPr>
        <w:ind w:left="360"/>
        <w:rPr>
          <w:rFonts w:ascii="Arial" w:hAnsi="Arial" w:cs="Arial"/>
          <w:sz w:val="24"/>
        </w:rPr>
      </w:pPr>
      <w:r>
        <w:rPr>
          <w:rFonts w:ascii="Arial" w:hAnsi="Arial" w:cs="Arial"/>
          <w:sz w:val="24"/>
        </w:rPr>
        <w:lastRenderedPageBreak/>
        <w:t>X</w:t>
      </w:r>
      <w:r w:rsidR="006215D1">
        <w:rPr>
          <w:rFonts w:ascii="Arial" w:hAnsi="Arial" w:cs="Arial"/>
          <w:sz w:val="24"/>
        </w:rPr>
        <w:t>_</w:t>
      </w:r>
      <w:r w:rsidR="006215D1">
        <w:rPr>
          <w:rFonts w:ascii="Arial" w:hAnsi="Arial" w:cs="Arial"/>
          <w:sz w:val="24"/>
        </w:rPr>
        <w:tab/>
        <w:t>Craig Burshem</w:t>
      </w:r>
    </w:p>
    <w:p w:rsidR="006215D1" w:rsidRDefault="00091657" w:rsidP="006215D1">
      <w:pPr>
        <w:ind w:left="360"/>
        <w:rPr>
          <w:rFonts w:ascii="Arial" w:hAnsi="Arial" w:cs="Arial"/>
          <w:sz w:val="24"/>
        </w:rPr>
      </w:pPr>
      <w:r>
        <w:rPr>
          <w:rFonts w:ascii="Arial" w:hAnsi="Arial" w:cs="Arial"/>
          <w:sz w:val="24"/>
        </w:rPr>
        <w:t>X</w:t>
      </w:r>
      <w:r w:rsidR="006215D1">
        <w:rPr>
          <w:rFonts w:ascii="Arial" w:hAnsi="Arial" w:cs="Arial"/>
          <w:sz w:val="24"/>
        </w:rPr>
        <w:t>_</w:t>
      </w:r>
      <w:r w:rsidR="006215D1">
        <w:rPr>
          <w:rFonts w:ascii="Arial" w:hAnsi="Arial" w:cs="Arial"/>
          <w:sz w:val="24"/>
        </w:rPr>
        <w:tab/>
        <w:t>Alisha Griffin</w:t>
      </w:r>
    </w:p>
    <w:p w:rsidR="006215D1" w:rsidRDefault="00091657" w:rsidP="006215D1">
      <w:pPr>
        <w:ind w:left="360"/>
        <w:rPr>
          <w:rFonts w:ascii="Arial" w:hAnsi="Arial" w:cs="Arial"/>
          <w:sz w:val="24"/>
        </w:rPr>
      </w:pPr>
      <w:r>
        <w:rPr>
          <w:rFonts w:ascii="Arial" w:hAnsi="Arial" w:cs="Arial"/>
          <w:sz w:val="24"/>
        </w:rPr>
        <w:t>X</w:t>
      </w:r>
      <w:r w:rsidR="006215D1">
        <w:rPr>
          <w:rFonts w:ascii="Arial" w:hAnsi="Arial" w:cs="Arial"/>
          <w:sz w:val="24"/>
        </w:rPr>
        <w:t>_</w:t>
      </w:r>
      <w:r w:rsidR="006215D1">
        <w:rPr>
          <w:rFonts w:ascii="Arial" w:hAnsi="Arial" w:cs="Arial"/>
          <w:sz w:val="24"/>
        </w:rPr>
        <w:tab/>
      </w:r>
      <w:r w:rsidR="00AC30E7">
        <w:rPr>
          <w:rFonts w:ascii="Arial" w:hAnsi="Arial" w:cs="Arial"/>
          <w:sz w:val="24"/>
        </w:rPr>
        <w:t>Jeff Jorgenson</w:t>
      </w:r>
    </w:p>
    <w:p w:rsidR="00AC30E7" w:rsidRDefault="00091657" w:rsidP="006215D1">
      <w:pPr>
        <w:ind w:left="360"/>
        <w:rPr>
          <w:rFonts w:ascii="Arial" w:hAnsi="Arial" w:cs="Arial"/>
          <w:sz w:val="24"/>
        </w:rPr>
      </w:pPr>
      <w:r>
        <w:rPr>
          <w:rFonts w:ascii="Arial" w:hAnsi="Arial" w:cs="Arial"/>
          <w:sz w:val="24"/>
        </w:rPr>
        <w:t>X</w:t>
      </w:r>
      <w:r w:rsidR="00AC30E7">
        <w:rPr>
          <w:rFonts w:ascii="Arial" w:hAnsi="Arial" w:cs="Arial"/>
          <w:sz w:val="24"/>
        </w:rPr>
        <w:t>_</w:t>
      </w:r>
      <w:r w:rsidR="00AC30E7">
        <w:rPr>
          <w:rFonts w:ascii="Arial" w:hAnsi="Arial" w:cs="Arial"/>
          <w:sz w:val="24"/>
        </w:rPr>
        <w:tab/>
        <w:t>Wally McClure</w:t>
      </w:r>
    </w:p>
    <w:p w:rsidR="00AC30E7" w:rsidRDefault="00091657" w:rsidP="006215D1">
      <w:pPr>
        <w:ind w:left="360"/>
        <w:rPr>
          <w:rFonts w:ascii="Arial" w:hAnsi="Arial" w:cs="Arial"/>
          <w:sz w:val="24"/>
        </w:rPr>
      </w:pPr>
      <w:r>
        <w:rPr>
          <w:rFonts w:ascii="Arial" w:hAnsi="Arial" w:cs="Arial"/>
          <w:sz w:val="24"/>
        </w:rPr>
        <w:t>X</w:t>
      </w:r>
      <w:r w:rsidR="00AC30E7">
        <w:rPr>
          <w:rFonts w:ascii="Arial" w:hAnsi="Arial" w:cs="Arial"/>
          <w:sz w:val="24"/>
        </w:rPr>
        <w:t>_</w:t>
      </w:r>
      <w:r w:rsidR="00AC30E7">
        <w:rPr>
          <w:rFonts w:ascii="Arial" w:hAnsi="Arial" w:cs="Arial"/>
          <w:sz w:val="24"/>
        </w:rPr>
        <w:tab/>
        <w:t>Rebecca Perez</w:t>
      </w:r>
    </w:p>
    <w:p w:rsidR="00AC30E7" w:rsidRDefault="00091657" w:rsidP="006215D1">
      <w:pPr>
        <w:ind w:left="360"/>
        <w:rPr>
          <w:rFonts w:ascii="Arial" w:hAnsi="Arial" w:cs="Arial"/>
          <w:sz w:val="24"/>
        </w:rPr>
      </w:pPr>
      <w:r>
        <w:rPr>
          <w:rFonts w:ascii="Arial" w:hAnsi="Arial" w:cs="Arial"/>
          <w:sz w:val="24"/>
        </w:rPr>
        <w:t>X</w:t>
      </w:r>
      <w:r w:rsidR="00AC30E7">
        <w:rPr>
          <w:rFonts w:ascii="Arial" w:hAnsi="Arial" w:cs="Arial"/>
          <w:sz w:val="24"/>
        </w:rPr>
        <w:t>_</w:t>
      </w:r>
      <w:r w:rsidR="00AC30E7">
        <w:rPr>
          <w:rFonts w:ascii="Arial" w:hAnsi="Arial" w:cs="Arial"/>
          <w:sz w:val="24"/>
        </w:rPr>
        <w:tab/>
        <w:t>Kate Richardson</w:t>
      </w:r>
    </w:p>
    <w:p w:rsidR="00AC30E7" w:rsidRDefault="00091657" w:rsidP="006215D1">
      <w:pPr>
        <w:ind w:left="360"/>
        <w:rPr>
          <w:rFonts w:ascii="Arial" w:hAnsi="Arial" w:cs="Arial"/>
          <w:sz w:val="24"/>
        </w:rPr>
      </w:pPr>
      <w:r>
        <w:rPr>
          <w:rFonts w:ascii="Arial" w:hAnsi="Arial" w:cs="Arial"/>
          <w:sz w:val="24"/>
        </w:rPr>
        <w:lastRenderedPageBreak/>
        <w:t>X</w:t>
      </w:r>
      <w:r w:rsidR="00AC30E7">
        <w:rPr>
          <w:rFonts w:ascii="Arial" w:hAnsi="Arial" w:cs="Arial"/>
          <w:sz w:val="24"/>
        </w:rPr>
        <w:t>_</w:t>
      </w:r>
      <w:r w:rsidR="00AC30E7">
        <w:rPr>
          <w:rFonts w:ascii="Arial" w:hAnsi="Arial" w:cs="Arial"/>
          <w:sz w:val="24"/>
        </w:rPr>
        <w:tab/>
        <w:t>Benidia Rice</w:t>
      </w:r>
    </w:p>
    <w:p w:rsidR="00AC30E7" w:rsidRDefault="00091657" w:rsidP="006215D1">
      <w:pPr>
        <w:ind w:left="360"/>
        <w:rPr>
          <w:rFonts w:ascii="Arial" w:hAnsi="Arial" w:cs="Arial"/>
          <w:sz w:val="24"/>
        </w:rPr>
      </w:pPr>
      <w:r>
        <w:rPr>
          <w:rFonts w:ascii="Arial" w:hAnsi="Arial" w:cs="Arial"/>
          <w:sz w:val="24"/>
        </w:rPr>
        <w:t>A</w:t>
      </w:r>
      <w:r w:rsidR="00AC30E7">
        <w:rPr>
          <w:rFonts w:ascii="Arial" w:hAnsi="Arial" w:cs="Arial"/>
          <w:sz w:val="24"/>
        </w:rPr>
        <w:t>_</w:t>
      </w:r>
      <w:r w:rsidR="00AC30E7">
        <w:rPr>
          <w:rFonts w:ascii="Arial" w:hAnsi="Arial" w:cs="Arial"/>
          <w:sz w:val="24"/>
        </w:rPr>
        <w:tab/>
        <w:t>Sharon Santilli</w:t>
      </w:r>
    </w:p>
    <w:p w:rsidR="00AC30E7" w:rsidRDefault="00091657" w:rsidP="006215D1">
      <w:pPr>
        <w:ind w:left="360"/>
        <w:rPr>
          <w:rFonts w:ascii="Arial" w:hAnsi="Arial" w:cs="Arial"/>
          <w:sz w:val="24"/>
        </w:rPr>
      </w:pPr>
      <w:r>
        <w:rPr>
          <w:rFonts w:ascii="Arial" w:hAnsi="Arial" w:cs="Arial"/>
          <w:sz w:val="24"/>
        </w:rPr>
        <w:t>X</w:t>
      </w:r>
      <w:r w:rsidR="00AC30E7">
        <w:rPr>
          <w:rFonts w:ascii="Arial" w:hAnsi="Arial" w:cs="Arial"/>
          <w:sz w:val="24"/>
        </w:rPr>
        <w:t>_</w:t>
      </w:r>
      <w:r w:rsidR="00AC30E7">
        <w:rPr>
          <w:rFonts w:ascii="Arial" w:hAnsi="Arial" w:cs="Arial"/>
          <w:sz w:val="24"/>
        </w:rPr>
        <w:tab/>
        <w:t>Steven Smith</w:t>
      </w:r>
    </w:p>
    <w:p w:rsidR="00AC30E7" w:rsidRDefault="00091657" w:rsidP="006215D1">
      <w:pPr>
        <w:ind w:left="360"/>
        <w:rPr>
          <w:rFonts w:ascii="Arial" w:hAnsi="Arial" w:cs="Arial"/>
          <w:sz w:val="24"/>
        </w:rPr>
      </w:pPr>
      <w:r>
        <w:rPr>
          <w:rFonts w:ascii="Arial" w:hAnsi="Arial" w:cs="Arial"/>
          <w:sz w:val="24"/>
        </w:rPr>
        <w:t>X</w:t>
      </w:r>
      <w:r w:rsidR="00AC30E7">
        <w:rPr>
          <w:rFonts w:ascii="Arial" w:hAnsi="Arial" w:cs="Arial"/>
          <w:sz w:val="24"/>
        </w:rPr>
        <w:t>_</w:t>
      </w:r>
      <w:r w:rsidR="00AC30E7">
        <w:rPr>
          <w:rFonts w:ascii="Arial" w:hAnsi="Arial" w:cs="Arial"/>
          <w:sz w:val="24"/>
        </w:rPr>
        <w:tab/>
        <w:t>Eileen Stack</w:t>
      </w:r>
    </w:p>
    <w:p w:rsidR="00AC30E7" w:rsidRDefault="00091657" w:rsidP="006215D1">
      <w:pPr>
        <w:ind w:left="360"/>
        <w:rPr>
          <w:rFonts w:ascii="Arial" w:hAnsi="Arial" w:cs="Arial"/>
          <w:sz w:val="24"/>
        </w:rPr>
      </w:pPr>
      <w:r>
        <w:rPr>
          <w:rFonts w:ascii="Arial" w:hAnsi="Arial" w:cs="Arial"/>
          <w:sz w:val="24"/>
        </w:rPr>
        <w:t>X</w:t>
      </w:r>
      <w:r w:rsidR="00AC30E7">
        <w:rPr>
          <w:rFonts w:ascii="Arial" w:hAnsi="Arial" w:cs="Arial"/>
          <w:sz w:val="24"/>
        </w:rPr>
        <w:t>_</w:t>
      </w:r>
      <w:r w:rsidR="00AC30E7">
        <w:rPr>
          <w:rFonts w:ascii="Arial" w:hAnsi="Arial" w:cs="Arial"/>
          <w:sz w:val="24"/>
        </w:rPr>
        <w:tab/>
        <w:t>Liesa Stockdale</w:t>
      </w:r>
    </w:p>
    <w:p w:rsidR="00AC30E7" w:rsidRPr="00AC30E7" w:rsidRDefault="00091657" w:rsidP="00AC30E7">
      <w:pPr>
        <w:ind w:left="360"/>
        <w:rPr>
          <w:rFonts w:ascii="Arial" w:hAnsi="Arial" w:cs="Arial"/>
          <w:sz w:val="24"/>
        </w:rPr>
        <w:sectPr w:rsidR="00AC30E7" w:rsidRPr="00AC30E7" w:rsidSect="00AC30E7">
          <w:type w:val="continuous"/>
          <w:pgSz w:w="12240" w:h="15840"/>
          <w:pgMar w:top="1440" w:right="1440" w:bottom="1440" w:left="1440" w:header="720" w:footer="720" w:gutter="0"/>
          <w:cols w:num="2" w:space="720"/>
          <w:docGrid w:linePitch="360"/>
        </w:sectPr>
      </w:pPr>
      <w:r>
        <w:rPr>
          <w:rFonts w:ascii="Arial" w:hAnsi="Arial" w:cs="Arial"/>
          <w:sz w:val="24"/>
        </w:rPr>
        <w:t>X</w:t>
      </w:r>
      <w:r w:rsidR="00AC30E7">
        <w:rPr>
          <w:rFonts w:ascii="Arial" w:hAnsi="Arial" w:cs="Arial"/>
          <w:sz w:val="24"/>
        </w:rPr>
        <w:t>_</w:t>
      </w:r>
      <w:r w:rsidR="00AC30E7">
        <w:rPr>
          <w:rFonts w:ascii="Arial" w:hAnsi="Arial" w:cs="Arial"/>
          <w:sz w:val="24"/>
        </w:rPr>
        <w:tab/>
        <w:t>Jim Fleming (chair)</w:t>
      </w:r>
    </w:p>
    <w:p w:rsidR="00AC30E7" w:rsidRDefault="00AC30E7" w:rsidP="00AC30E7">
      <w:pPr>
        <w:pStyle w:val="ListParagraph"/>
        <w:ind w:left="360"/>
        <w:rPr>
          <w:rFonts w:ascii="Arial" w:hAnsi="Arial" w:cs="Arial"/>
          <w:sz w:val="24"/>
        </w:rPr>
      </w:pPr>
    </w:p>
    <w:p w:rsidR="006215D1" w:rsidRDefault="00091657" w:rsidP="006215D1">
      <w:pPr>
        <w:pStyle w:val="ListParagraph"/>
        <w:numPr>
          <w:ilvl w:val="0"/>
          <w:numId w:val="2"/>
        </w:numPr>
        <w:ind w:left="360"/>
        <w:rPr>
          <w:rFonts w:ascii="Arial" w:hAnsi="Arial" w:cs="Arial"/>
          <w:sz w:val="24"/>
        </w:rPr>
      </w:pPr>
      <w:r>
        <w:rPr>
          <w:rFonts w:ascii="Arial" w:hAnsi="Arial" w:cs="Arial"/>
          <w:sz w:val="24"/>
        </w:rPr>
        <w:t>M</w:t>
      </w:r>
      <w:r w:rsidR="006215D1">
        <w:rPr>
          <w:rFonts w:ascii="Arial" w:hAnsi="Arial" w:cs="Arial"/>
          <w:sz w:val="24"/>
        </w:rPr>
        <w:t>eeting Notes</w:t>
      </w:r>
      <w:r>
        <w:rPr>
          <w:rFonts w:ascii="Arial" w:hAnsi="Arial" w:cs="Arial"/>
          <w:sz w:val="24"/>
        </w:rPr>
        <w:t xml:space="preserve"> for August 12 and 19 were reviewed and approved</w:t>
      </w:r>
    </w:p>
    <w:p w:rsidR="00AC30E7" w:rsidRDefault="00AC30E7" w:rsidP="00AC30E7">
      <w:pPr>
        <w:pStyle w:val="ListParagraph"/>
        <w:ind w:left="360"/>
        <w:rPr>
          <w:rFonts w:ascii="Arial" w:hAnsi="Arial" w:cs="Arial"/>
          <w:sz w:val="24"/>
        </w:rPr>
      </w:pPr>
    </w:p>
    <w:p w:rsidR="00091657" w:rsidRDefault="00091657" w:rsidP="00091657">
      <w:pPr>
        <w:pStyle w:val="ListParagraph"/>
        <w:numPr>
          <w:ilvl w:val="0"/>
          <w:numId w:val="2"/>
        </w:numPr>
        <w:ind w:left="360"/>
        <w:rPr>
          <w:rFonts w:ascii="Arial" w:hAnsi="Arial" w:cs="Arial"/>
          <w:sz w:val="24"/>
        </w:rPr>
      </w:pPr>
      <w:r w:rsidRPr="00091657">
        <w:rPr>
          <w:rFonts w:ascii="Arial" w:hAnsi="Arial" w:cs="Arial"/>
          <w:sz w:val="24"/>
        </w:rPr>
        <w:t>Michigan’s imputation policy was reviewed.  Sentiment of group appeared to be that the policy provisions aimed at reducing the number of cases where income is imputed are consistent with the general rule in most states, although one member noted that going so far as to pursue a subpoena prior to imputation may be a little further than many states would go.</w:t>
      </w:r>
      <w:r>
        <w:rPr>
          <w:rFonts w:ascii="Arial" w:hAnsi="Arial" w:cs="Arial"/>
          <w:sz w:val="24"/>
        </w:rPr>
        <w:t xml:space="preserve">  </w:t>
      </w:r>
      <w:r w:rsidRPr="00091657">
        <w:rPr>
          <w:rFonts w:ascii="Arial" w:hAnsi="Arial" w:cs="Arial"/>
          <w:sz w:val="24"/>
        </w:rPr>
        <w:t>One member wondered how often discovery happens.</w:t>
      </w:r>
    </w:p>
    <w:p w:rsidR="00091657" w:rsidRDefault="00091657" w:rsidP="00091657">
      <w:pPr>
        <w:rPr>
          <w:rFonts w:ascii="Arial" w:hAnsi="Arial" w:cs="Arial"/>
          <w:sz w:val="24"/>
        </w:rPr>
      </w:pPr>
    </w:p>
    <w:p w:rsidR="00091657" w:rsidRPr="00091657" w:rsidRDefault="00091657" w:rsidP="00091657">
      <w:pPr>
        <w:ind w:left="360"/>
        <w:rPr>
          <w:rFonts w:ascii="Arial" w:hAnsi="Arial" w:cs="Arial"/>
          <w:sz w:val="24"/>
        </w:rPr>
      </w:pPr>
      <w:r>
        <w:rPr>
          <w:rFonts w:ascii="Arial" w:hAnsi="Arial" w:cs="Arial"/>
          <w:sz w:val="24"/>
        </w:rPr>
        <w:t>The group discussed whether there are databases that will be particularly helpful to which IV-D does not have access.  We discussed potential employment databases to validate identity and assets of parents, but no specific database was mentioned.  It was observed that more companies seem to be paying cash.</w:t>
      </w:r>
    </w:p>
    <w:p w:rsidR="00AC30E7" w:rsidRDefault="00AC30E7" w:rsidP="00AC30E7">
      <w:pPr>
        <w:pStyle w:val="ListParagraph"/>
        <w:ind w:left="360"/>
        <w:rPr>
          <w:rFonts w:ascii="Arial" w:hAnsi="Arial" w:cs="Arial"/>
          <w:sz w:val="24"/>
        </w:rPr>
      </w:pPr>
    </w:p>
    <w:p w:rsidR="00AC30E7" w:rsidRDefault="00AC30E7" w:rsidP="00AC30E7">
      <w:pPr>
        <w:pStyle w:val="ListParagraph"/>
        <w:numPr>
          <w:ilvl w:val="0"/>
          <w:numId w:val="2"/>
        </w:numPr>
        <w:ind w:left="360"/>
        <w:rPr>
          <w:rFonts w:ascii="Arial" w:hAnsi="Arial" w:cs="Arial"/>
          <w:sz w:val="24"/>
        </w:rPr>
      </w:pPr>
      <w:r>
        <w:rPr>
          <w:rFonts w:ascii="Arial" w:hAnsi="Arial" w:cs="Arial"/>
          <w:sz w:val="24"/>
        </w:rPr>
        <w:t>Develop Structure of State Survey</w:t>
      </w:r>
    </w:p>
    <w:p w:rsidR="00AC30E7" w:rsidRDefault="00AC30E7" w:rsidP="00AC30E7">
      <w:pPr>
        <w:pStyle w:val="ListParagraph"/>
        <w:ind w:left="360"/>
        <w:rPr>
          <w:rFonts w:ascii="Arial" w:hAnsi="Arial" w:cs="Arial"/>
          <w:sz w:val="24"/>
        </w:rPr>
      </w:pPr>
    </w:p>
    <w:p w:rsidR="00AC30E7" w:rsidRDefault="00AA2EAF" w:rsidP="00AC30E7">
      <w:pPr>
        <w:pStyle w:val="ListParagraph"/>
        <w:numPr>
          <w:ilvl w:val="1"/>
          <w:numId w:val="2"/>
        </w:numPr>
        <w:ind w:left="1080"/>
        <w:rPr>
          <w:rFonts w:ascii="Arial" w:hAnsi="Arial" w:cs="Arial"/>
          <w:sz w:val="24"/>
        </w:rPr>
      </w:pPr>
      <w:r>
        <w:rPr>
          <w:rFonts w:ascii="Arial" w:hAnsi="Arial" w:cs="Arial"/>
          <w:sz w:val="24"/>
        </w:rPr>
        <w:t>P</w:t>
      </w:r>
      <w:r w:rsidR="00AC30E7">
        <w:rPr>
          <w:rFonts w:ascii="Arial" w:hAnsi="Arial" w:cs="Arial"/>
          <w:sz w:val="24"/>
        </w:rPr>
        <w:t>rocedures for establishing and modifying orders</w:t>
      </w:r>
    </w:p>
    <w:p w:rsidR="00AA2EAF" w:rsidRDefault="00AA2EAF" w:rsidP="00AA2EAF">
      <w:pPr>
        <w:pStyle w:val="ListParagraph"/>
        <w:ind w:left="1080"/>
        <w:rPr>
          <w:rFonts w:ascii="Arial" w:hAnsi="Arial" w:cs="Arial"/>
          <w:sz w:val="24"/>
        </w:rPr>
      </w:pPr>
    </w:p>
    <w:p w:rsidR="00AA2EAF" w:rsidRDefault="00AA2EAF" w:rsidP="00AA2EAF">
      <w:pPr>
        <w:pStyle w:val="ListParagraph"/>
        <w:ind w:left="1080"/>
        <w:rPr>
          <w:rFonts w:ascii="Arial" w:hAnsi="Arial" w:cs="Arial"/>
          <w:sz w:val="24"/>
        </w:rPr>
      </w:pPr>
      <w:r>
        <w:rPr>
          <w:rFonts w:ascii="Arial" w:hAnsi="Arial" w:cs="Arial"/>
          <w:sz w:val="24"/>
        </w:rPr>
        <w:t xml:space="preserve">Group discussed need, and methods for, communicating with customers up-front before establishment, and the third-party sources of information that are used.  We want to ask that in the survey.  We also want to ask what kind of verification is done up-front for income information.  The point of this area of the survey is to learn about the steps to reduce the prevalence of default obligations without participation of one of the parents (excludes agreed orders where the obligation is entered by “default” without hearing under the court rules because the parties have presented a stipulation).  The exclusion of </w:t>
      </w:r>
      <w:r>
        <w:rPr>
          <w:rFonts w:ascii="Arial" w:hAnsi="Arial" w:cs="Arial"/>
          <w:sz w:val="24"/>
        </w:rPr>
        <w:lastRenderedPageBreak/>
        <w:t>“agreed orders” is important in the survey.  In general, the group talked about the benefits of a definitions section of some kind so the responders to the survey are clear on what is being asked.  The distinction is also different between presumed income (we don’t know) and imputed income (known unemployed or underemployed).</w:t>
      </w:r>
    </w:p>
    <w:p w:rsidR="00AA2EAF" w:rsidRDefault="00AA2EAF" w:rsidP="00AA2EAF">
      <w:pPr>
        <w:pStyle w:val="ListParagraph"/>
        <w:ind w:left="1080"/>
        <w:rPr>
          <w:rFonts w:ascii="Arial" w:hAnsi="Arial" w:cs="Arial"/>
          <w:sz w:val="24"/>
        </w:rPr>
      </w:pPr>
    </w:p>
    <w:p w:rsidR="00AA2EAF" w:rsidRDefault="00AA2EAF" w:rsidP="00AA2EAF">
      <w:pPr>
        <w:pStyle w:val="ListParagraph"/>
        <w:ind w:left="1080"/>
        <w:rPr>
          <w:rFonts w:ascii="Arial" w:hAnsi="Arial" w:cs="Arial"/>
          <w:sz w:val="24"/>
        </w:rPr>
      </w:pPr>
      <w:r>
        <w:rPr>
          <w:rFonts w:ascii="Arial" w:hAnsi="Arial" w:cs="Arial"/>
          <w:sz w:val="24"/>
        </w:rPr>
        <w:t>Selective use of scenario-based survey questions would be helpful in common situations, such as inmates and malingerers.</w:t>
      </w:r>
    </w:p>
    <w:p w:rsidR="00AA2EAF" w:rsidRDefault="00AA2EAF" w:rsidP="00AA2EAF">
      <w:pPr>
        <w:pStyle w:val="ListParagraph"/>
        <w:ind w:left="1080"/>
        <w:rPr>
          <w:rFonts w:ascii="Arial" w:hAnsi="Arial" w:cs="Arial"/>
          <w:sz w:val="24"/>
        </w:rPr>
      </w:pPr>
    </w:p>
    <w:p w:rsidR="00AA2EAF" w:rsidRDefault="00AA2EAF" w:rsidP="00AA2EAF">
      <w:pPr>
        <w:pStyle w:val="ListParagraph"/>
        <w:ind w:left="1080"/>
        <w:rPr>
          <w:rFonts w:ascii="Arial" w:hAnsi="Arial" w:cs="Arial"/>
          <w:sz w:val="24"/>
        </w:rPr>
      </w:pPr>
      <w:r>
        <w:rPr>
          <w:rFonts w:ascii="Arial" w:hAnsi="Arial" w:cs="Arial"/>
          <w:sz w:val="24"/>
        </w:rPr>
        <w:t>Also want to survey the prevalence of smaller orders for a limited period of time to allow the obligor to find work.</w:t>
      </w:r>
      <w:r w:rsidR="009072BD">
        <w:rPr>
          <w:rFonts w:ascii="Arial" w:hAnsi="Arial" w:cs="Arial"/>
          <w:sz w:val="24"/>
        </w:rPr>
        <w:t xml:space="preserve">  How long?  In state experiences, is this approach successful in the sense that obligors find work and can pay when the order increases?</w:t>
      </w:r>
    </w:p>
    <w:p w:rsidR="009072BD" w:rsidRDefault="009072BD" w:rsidP="00AA2EAF">
      <w:pPr>
        <w:pStyle w:val="ListParagraph"/>
        <w:ind w:left="1080"/>
        <w:rPr>
          <w:rFonts w:ascii="Arial" w:hAnsi="Arial" w:cs="Arial"/>
          <w:sz w:val="24"/>
        </w:rPr>
      </w:pPr>
    </w:p>
    <w:p w:rsidR="009072BD" w:rsidRDefault="009072BD" w:rsidP="00AA2EAF">
      <w:pPr>
        <w:pStyle w:val="ListParagraph"/>
        <w:ind w:left="1080"/>
        <w:rPr>
          <w:rFonts w:ascii="Arial" w:hAnsi="Arial" w:cs="Arial"/>
          <w:sz w:val="24"/>
        </w:rPr>
      </w:pPr>
      <w:r>
        <w:rPr>
          <w:rFonts w:ascii="Arial" w:hAnsi="Arial" w:cs="Arial"/>
          <w:sz w:val="24"/>
        </w:rPr>
        <w:t>Discussion turned to review practices, including early reviews and re-opening orders after they are entered.  One state indicated it can set aside a default if the parent was not served; they offer early reviews in certain circumstances, but not merely because income was imputed.  Another state noted it can re-open a judgment for mistake of fact – up to 6 months.  A third state said they can open a case for late hearing as much as 1 year later and have the resulting obligation be retroactive.</w:t>
      </w:r>
    </w:p>
    <w:p w:rsidR="009072BD" w:rsidRDefault="009072BD" w:rsidP="00AA2EAF">
      <w:pPr>
        <w:pStyle w:val="ListParagraph"/>
        <w:ind w:left="1080"/>
        <w:rPr>
          <w:rFonts w:ascii="Arial" w:hAnsi="Arial" w:cs="Arial"/>
          <w:sz w:val="24"/>
        </w:rPr>
      </w:pPr>
    </w:p>
    <w:p w:rsidR="009072BD" w:rsidRDefault="009072BD" w:rsidP="00AA2EAF">
      <w:pPr>
        <w:pStyle w:val="ListParagraph"/>
        <w:ind w:left="1080"/>
        <w:rPr>
          <w:rFonts w:ascii="Arial" w:hAnsi="Arial" w:cs="Arial"/>
          <w:sz w:val="24"/>
        </w:rPr>
      </w:pPr>
      <w:r>
        <w:rPr>
          <w:rFonts w:ascii="Arial" w:hAnsi="Arial" w:cs="Arial"/>
          <w:sz w:val="24"/>
        </w:rPr>
        <w:t>For the scenarios, it will be important to ask “why” so the response can be understood and compared to other states.</w:t>
      </w:r>
    </w:p>
    <w:p w:rsidR="009072BD" w:rsidRDefault="009072BD" w:rsidP="00AA2EAF">
      <w:pPr>
        <w:pStyle w:val="ListParagraph"/>
        <w:ind w:left="1080"/>
        <w:rPr>
          <w:rFonts w:ascii="Arial" w:hAnsi="Arial" w:cs="Arial"/>
          <w:sz w:val="24"/>
        </w:rPr>
      </w:pPr>
    </w:p>
    <w:p w:rsidR="009072BD" w:rsidRDefault="009072BD" w:rsidP="00AA2EAF">
      <w:pPr>
        <w:pStyle w:val="ListParagraph"/>
        <w:ind w:left="1080"/>
        <w:rPr>
          <w:rFonts w:ascii="Arial" w:hAnsi="Arial" w:cs="Arial"/>
          <w:sz w:val="24"/>
        </w:rPr>
      </w:pPr>
      <w:r>
        <w:rPr>
          <w:rFonts w:ascii="Arial" w:hAnsi="Arial" w:cs="Arial"/>
          <w:sz w:val="24"/>
        </w:rPr>
        <w:t>Practices vary between serving the parent first (by certified mail etc.) or open the dialog first with a welcome letter by regular mail with a request for a phone call.  One state pursues personal service (hand-delivered) in each case; others use all options for personal service permitted under the Federal and uniform rules of civil procedure.</w:t>
      </w:r>
      <w:bookmarkStart w:id="0" w:name="_GoBack"/>
      <w:bookmarkEnd w:id="0"/>
    </w:p>
    <w:p w:rsidR="00AA2EAF" w:rsidRDefault="00AA2EAF" w:rsidP="00AA2EAF">
      <w:pPr>
        <w:pStyle w:val="ListParagraph"/>
        <w:ind w:left="1080"/>
        <w:rPr>
          <w:rFonts w:ascii="Arial" w:hAnsi="Arial" w:cs="Arial"/>
          <w:sz w:val="24"/>
        </w:rPr>
      </w:pPr>
    </w:p>
    <w:p w:rsidR="00AC30E7" w:rsidRDefault="00AC30E7" w:rsidP="00AC30E7">
      <w:pPr>
        <w:pStyle w:val="ListParagraph"/>
        <w:numPr>
          <w:ilvl w:val="1"/>
          <w:numId w:val="2"/>
        </w:numPr>
        <w:ind w:left="1080"/>
        <w:rPr>
          <w:rFonts w:ascii="Arial" w:hAnsi="Arial" w:cs="Arial"/>
          <w:sz w:val="24"/>
        </w:rPr>
      </w:pPr>
      <w:r>
        <w:rPr>
          <w:rFonts w:ascii="Arial" w:hAnsi="Arial" w:cs="Arial"/>
          <w:sz w:val="24"/>
        </w:rPr>
        <w:t>Imputation of income under state guidelines</w:t>
      </w:r>
    </w:p>
    <w:p w:rsidR="00AC30E7" w:rsidRDefault="00AC30E7" w:rsidP="009072BD">
      <w:pPr>
        <w:pStyle w:val="ListParagraph"/>
        <w:ind w:left="1440"/>
        <w:rPr>
          <w:rFonts w:ascii="Arial" w:hAnsi="Arial" w:cs="Arial"/>
          <w:sz w:val="24"/>
        </w:rPr>
      </w:pPr>
    </w:p>
    <w:p w:rsidR="009072BD" w:rsidRDefault="009072BD" w:rsidP="009072BD">
      <w:pPr>
        <w:pStyle w:val="ListParagraph"/>
        <w:ind w:left="1080"/>
        <w:rPr>
          <w:rFonts w:ascii="Arial" w:hAnsi="Arial" w:cs="Arial"/>
          <w:sz w:val="24"/>
        </w:rPr>
      </w:pPr>
      <w:r>
        <w:rPr>
          <w:rFonts w:ascii="Arial" w:hAnsi="Arial" w:cs="Arial"/>
          <w:sz w:val="24"/>
        </w:rPr>
        <w:t>This will be discussed more at the next meeting.</w:t>
      </w:r>
    </w:p>
    <w:p w:rsidR="009072BD" w:rsidRDefault="009072BD" w:rsidP="009072BD">
      <w:pPr>
        <w:pStyle w:val="ListParagraph"/>
        <w:ind w:left="1080"/>
        <w:rPr>
          <w:rFonts w:ascii="Arial" w:hAnsi="Arial" w:cs="Arial"/>
          <w:sz w:val="24"/>
        </w:rPr>
      </w:pPr>
    </w:p>
    <w:p w:rsidR="00AC30E7" w:rsidRPr="00AC30E7" w:rsidRDefault="00AC30E7" w:rsidP="00AC30E7">
      <w:pPr>
        <w:pStyle w:val="ListParagraph"/>
        <w:numPr>
          <w:ilvl w:val="0"/>
          <w:numId w:val="2"/>
        </w:numPr>
        <w:ind w:left="360"/>
        <w:rPr>
          <w:rFonts w:ascii="Arial" w:hAnsi="Arial" w:cs="Arial"/>
          <w:sz w:val="24"/>
        </w:rPr>
      </w:pPr>
      <w:r>
        <w:rPr>
          <w:rFonts w:ascii="Arial" w:hAnsi="Arial" w:cs="Arial"/>
          <w:sz w:val="24"/>
        </w:rPr>
        <w:t>Next meeting September 15, 2015, at 4:00 Eastern</w:t>
      </w:r>
      <w:r w:rsidR="00AA2EAF">
        <w:rPr>
          <w:rFonts w:ascii="Arial" w:hAnsi="Arial" w:cs="Arial"/>
          <w:sz w:val="24"/>
        </w:rPr>
        <w:t xml:space="preserve"> (later cancelled – next meeting will be September 29).</w:t>
      </w:r>
    </w:p>
    <w:sectPr w:rsidR="00AC30E7" w:rsidRPr="00AC30E7" w:rsidSect="006215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32F7"/>
    <w:multiLevelType w:val="hybridMultilevel"/>
    <w:tmpl w:val="DAEE5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531B4"/>
    <w:multiLevelType w:val="hybridMultilevel"/>
    <w:tmpl w:val="19C2A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D1"/>
    <w:rsid w:val="00091657"/>
    <w:rsid w:val="00535253"/>
    <w:rsid w:val="006215D1"/>
    <w:rsid w:val="009072BD"/>
    <w:rsid w:val="00AA2EAF"/>
    <w:rsid w:val="00AC30E7"/>
    <w:rsid w:val="00FD2D9B"/>
    <w:rsid w:val="00FD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5D1"/>
    <w:rPr>
      <w:rFonts w:ascii="Tahoma" w:hAnsi="Tahoma" w:cs="Tahoma"/>
      <w:sz w:val="16"/>
      <w:szCs w:val="16"/>
    </w:rPr>
  </w:style>
  <w:style w:type="character" w:customStyle="1" w:styleId="BalloonTextChar">
    <w:name w:val="Balloon Text Char"/>
    <w:basedOn w:val="DefaultParagraphFont"/>
    <w:link w:val="BalloonText"/>
    <w:uiPriority w:val="99"/>
    <w:semiHidden/>
    <w:rsid w:val="006215D1"/>
    <w:rPr>
      <w:rFonts w:ascii="Tahoma" w:hAnsi="Tahoma" w:cs="Tahoma"/>
      <w:sz w:val="16"/>
      <w:szCs w:val="16"/>
    </w:rPr>
  </w:style>
  <w:style w:type="paragraph" w:styleId="ListParagraph">
    <w:name w:val="List Paragraph"/>
    <w:basedOn w:val="Normal"/>
    <w:uiPriority w:val="34"/>
    <w:qFormat/>
    <w:rsid w:val="00621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5D1"/>
    <w:rPr>
      <w:rFonts w:ascii="Tahoma" w:hAnsi="Tahoma" w:cs="Tahoma"/>
      <w:sz w:val="16"/>
      <w:szCs w:val="16"/>
    </w:rPr>
  </w:style>
  <w:style w:type="character" w:customStyle="1" w:styleId="BalloonTextChar">
    <w:name w:val="Balloon Text Char"/>
    <w:basedOn w:val="DefaultParagraphFont"/>
    <w:link w:val="BalloonText"/>
    <w:uiPriority w:val="99"/>
    <w:semiHidden/>
    <w:rsid w:val="006215D1"/>
    <w:rPr>
      <w:rFonts w:ascii="Tahoma" w:hAnsi="Tahoma" w:cs="Tahoma"/>
      <w:sz w:val="16"/>
      <w:szCs w:val="16"/>
    </w:rPr>
  </w:style>
  <w:style w:type="paragraph" w:styleId="ListParagraph">
    <w:name w:val="List Paragraph"/>
    <w:basedOn w:val="Normal"/>
    <w:uiPriority w:val="34"/>
    <w:qFormat/>
    <w:rsid w:val="0062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DBDD-8D8C-40B1-92BE-23B64DC5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NDDHS</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3</cp:revision>
  <dcterms:created xsi:type="dcterms:W3CDTF">2015-09-28T13:50:00Z</dcterms:created>
  <dcterms:modified xsi:type="dcterms:W3CDTF">2015-09-28T13:57:00Z</dcterms:modified>
</cp:coreProperties>
</file>