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bookmarkStart w:id="0" w:name="_GoBack"/>
      <w:bookmarkEnd w:id="0"/>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5"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5E04CF">
        <w:rPr>
          <w:rFonts w:ascii="Calibri" w:hAnsi="Calibri"/>
          <w:b/>
          <w:color w:val="002060"/>
          <w:sz w:val="24"/>
          <w:szCs w:val="24"/>
        </w:rPr>
        <w:t>August 18</w:t>
      </w:r>
      <w:r w:rsidR="00046B31">
        <w:rPr>
          <w:rFonts w:ascii="Calibri" w:hAnsi="Calibri"/>
          <w:b/>
          <w:color w:val="002060"/>
          <w:sz w:val="24"/>
          <w:szCs w:val="24"/>
        </w:rPr>
        <w:t xml:space="preserve">, </w:t>
      </w:r>
      <w:r w:rsidR="007C3996">
        <w:rPr>
          <w:rFonts w:ascii="Calibri" w:hAnsi="Calibri"/>
          <w:b/>
          <w:color w:val="002060"/>
          <w:sz w:val="24"/>
          <w:szCs w:val="24"/>
        </w:rPr>
        <w:t>2016</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F66039" w:rsidP="001D12C4">
      <w:pPr>
        <w:pStyle w:val="Title"/>
        <w:jc w:val="center"/>
        <w:rPr>
          <w:rFonts w:ascii="Calibri" w:hAnsi="Calibri"/>
          <w:b/>
          <w:color w:val="002060"/>
          <w:sz w:val="28"/>
        </w:rPr>
      </w:pPr>
      <w:r w:rsidRPr="00B31DF6">
        <w:rPr>
          <w:rFonts w:ascii="Calibri" w:hAnsi="Calibri"/>
          <w:b/>
          <w:color w:val="002060"/>
          <w:sz w:val="28"/>
        </w:rPr>
        <w:t>A G E N D A</w:t>
      </w: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r w:rsidR="00B61C8D">
        <w:rPr>
          <w:rFonts w:ascii="Calibri" w:hAnsi="Calibri"/>
          <w:color w:val="002060"/>
        </w:rPr>
        <w:t xml:space="preserve"> – Present – Eaton (Pres.</w:t>
      </w:r>
      <w:r w:rsidR="001702C9">
        <w:rPr>
          <w:rFonts w:ascii="Calibri" w:hAnsi="Calibri"/>
          <w:color w:val="002060"/>
        </w:rPr>
        <w:t xml:space="preserve"> – partial</w:t>
      </w:r>
      <w:r w:rsidR="00B61C8D">
        <w:rPr>
          <w:rFonts w:ascii="Calibri" w:hAnsi="Calibri"/>
          <w:color w:val="002060"/>
        </w:rPr>
        <w:t>), McClure (Vice Pres. – presided), Fleming (Treas.), Santilli (Imm. Past Pres.), Morgan (R4), Jorgenson (R5</w:t>
      </w:r>
      <w:r w:rsidR="001702C9">
        <w:rPr>
          <w:rFonts w:ascii="Calibri" w:hAnsi="Calibri"/>
          <w:color w:val="002060"/>
        </w:rPr>
        <w:t xml:space="preserve"> - partial</w:t>
      </w:r>
      <w:r w:rsidR="00B61C8D">
        <w:rPr>
          <w:rFonts w:ascii="Calibri" w:hAnsi="Calibri"/>
          <w:color w:val="002060"/>
        </w:rPr>
        <w:t>), Stockdale (R8), Griffin (R9), Cohen (website comm).  Also attending Mark Rath (IA) and Ashley Dexter (KS).  Absent – Burshem (Sec.), Dillon (R1), Risch (R2), Rice (R3), Andry (R6), Thomas (R7), Yearsley (R10), Frisch (Mentor Comm.)</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835EC">
        <w:rPr>
          <w:rFonts w:ascii="Calibri" w:hAnsi="Calibri"/>
          <w:color w:val="002060"/>
        </w:rPr>
        <w:t xml:space="preserve"> </w:t>
      </w:r>
      <w:r w:rsidR="005E04CF">
        <w:rPr>
          <w:rFonts w:ascii="Calibri" w:hAnsi="Calibri"/>
          <w:color w:val="002060"/>
        </w:rPr>
        <w:t xml:space="preserve">July 21, </w:t>
      </w:r>
      <w:r w:rsidR="00046B31">
        <w:rPr>
          <w:rFonts w:ascii="Calibri" w:hAnsi="Calibri"/>
          <w:color w:val="002060"/>
        </w:rPr>
        <w:t xml:space="preserve">2016 </w:t>
      </w:r>
      <w:r w:rsidR="0062328E">
        <w:rPr>
          <w:rFonts w:ascii="Calibri" w:hAnsi="Calibri"/>
          <w:color w:val="548DD4" w:themeColor="text2" w:themeTint="99"/>
        </w:rPr>
        <w:t>- Postponed for lack of quorum</w:t>
      </w:r>
      <w:r w:rsidR="009D788E">
        <w:rPr>
          <w:rFonts w:ascii="Calibri" w:hAnsi="Calibri"/>
          <w:color w:val="548DD4" w:themeColor="text2" w:themeTint="99"/>
        </w:rPr>
        <w:t xml:space="preserve"> (prior to Eaton joining)</w:t>
      </w:r>
    </w:p>
    <w:p w:rsidR="001D12C4" w:rsidRPr="001D12C4" w:rsidRDefault="001D12C4" w:rsidP="00620295">
      <w:pPr>
        <w:pStyle w:val="ListParagraph"/>
        <w:rPr>
          <w:rFonts w:ascii="Calibri" w:hAnsi="Calibri"/>
          <w:color w:val="002060"/>
        </w:rPr>
      </w:pPr>
    </w:p>
    <w:p w:rsidR="007C3996" w:rsidRPr="0097265F" w:rsidRDefault="00EC33EC" w:rsidP="007C3996">
      <w:pPr>
        <w:pStyle w:val="ListParagraph"/>
        <w:numPr>
          <w:ilvl w:val="0"/>
          <w:numId w:val="1"/>
        </w:numPr>
        <w:spacing w:line="240" w:lineRule="auto"/>
        <w:ind w:left="360"/>
        <w:rPr>
          <w:rFonts w:ascii="Calibri" w:hAnsi="Calibri"/>
          <w:color w:val="FF0000"/>
        </w:rPr>
      </w:pPr>
      <w:r w:rsidRPr="00046B31">
        <w:rPr>
          <w:rFonts w:ascii="Calibri" w:hAnsi="Calibri"/>
          <w:color w:val="002060"/>
        </w:rPr>
        <w:t>Presidents Report</w:t>
      </w:r>
      <w:r w:rsidR="005004A4" w:rsidRPr="00046B31">
        <w:rPr>
          <w:rFonts w:ascii="Calibri" w:hAnsi="Calibri"/>
          <w:color w:val="002060"/>
        </w:rPr>
        <w:t xml:space="preserve"> </w:t>
      </w:r>
      <w:r w:rsidR="00711DC3" w:rsidRPr="00046B31">
        <w:rPr>
          <w:rFonts w:ascii="Calibri" w:hAnsi="Calibri"/>
          <w:color w:val="002060"/>
        </w:rPr>
        <w:t xml:space="preserve">– </w:t>
      </w:r>
      <w:r w:rsidR="000D4BD7" w:rsidRPr="00046B31">
        <w:rPr>
          <w:rFonts w:ascii="Calibri" w:hAnsi="Calibri"/>
          <w:color w:val="002060"/>
        </w:rPr>
        <w:t>NCCSD/OCSE Leadership Call</w:t>
      </w:r>
      <w:r w:rsidR="00AC6697">
        <w:rPr>
          <w:rFonts w:ascii="Calibri" w:hAnsi="Calibri"/>
          <w:color w:val="002060"/>
        </w:rPr>
        <w:t xml:space="preserve"> August 15</w:t>
      </w:r>
      <w:r w:rsidR="001B64C1">
        <w:rPr>
          <w:rFonts w:ascii="Calibri" w:hAnsi="Calibri"/>
          <w:color w:val="002060"/>
        </w:rPr>
        <w:t xml:space="preserve"> </w:t>
      </w:r>
      <w:r w:rsidR="001B64C1">
        <w:rPr>
          <w:rFonts w:ascii="Calibri" w:hAnsi="Calibri"/>
          <w:color w:val="548DD4" w:themeColor="text2" w:themeTint="99"/>
        </w:rPr>
        <w:t>– See attached</w:t>
      </w:r>
      <w:r w:rsidR="009D788E">
        <w:rPr>
          <w:rFonts w:ascii="Calibri" w:hAnsi="Calibri"/>
          <w:color w:val="548DD4" w:themeColor="text2" w:themeTint="99"/>
        </w:rPr>
        <w:t>.  McClure presented in Eaton’s absence.</w:t>
      </w:r>
    </w:p>
    <w:p w:rsidR="0097265F" w:rsidRPr="0097265F" w:rsidRDefault="0097265F" w:rsidP="0097265F">
      <w:pPr>
        <w:pStyle w:val="ListParagraph"/>
        <w:rPr>
          <w:rFonts w:ascii="Calibri" w:hAnsi="Calibri"/>
          <w:color w:val="FF0000"/>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Dennis Putze presented on Self-Assessment update.  Nine states had provided information about the range of hours required to complete the self-assessment audit, which ranged from few hours/highly automated, to entirely manual and thousands of hours.  Most common suggestion was to remove the medical support criteria or hold states harmless on those items.  Vickie asked what the value of the self-assessment aside from just meeting their requirement.  Sharon Santilli offered that there is already a committee discussing these items.  NCCSD will hold off for the committee’s draft report and NCCSD will react/comment on that.</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Scott Hale: Pub 1075.  OCSE’s DCL is prepared as soon as IRS publishes the updated Pub 1075.  Sharon asked if anyone has started plans related to fingerprinting.  Most states are waiting for the publication and then anticipate</w:t>
      </w:r>
      <w:r w:rsidR="00F671EE">
        <w:rPr>
          <w:rFonts w:ascii="Calibri" w:hAnsi="Calibri"/>
          <w:color w:val="548DD4" w:themeColor="text2" w:themeTint="99"/>
        </w:rPr>
        <w:t xml:space="preserve"> working with their legislators and labor unions as needed to implement the changes.  </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Report to Congress:  Vickie is concerned that SNAP cooperation with IV-D may become an issue.  Some concern that program may not be performing like we used to—Vickie preparing for that argument.</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Does anyone have SNAP data? Overlapping with TANF cases? Etc?  Send to Wally who will distribute.  Is it supposed to be for recovery or to assist all clients on means-tested programs.</w:t>
      </w:r>
    </w:p>
    <w:p w:rsidR="005E04CF" w:rsidRPr="005E04CF" w:rsidRDefault="005E04CF" w:rsidP="005E04CF">
      <w:pPr>
        <w:pStyle w:val="ListParagraph"/>
        <w:rPr>
          <w:rFonts w:ascii="Calibri" w:hAnsi="Calibri"/>
          <w:color w:val="FF0000"/>
        </w:rPr>
      </w:pPr>
    </w:p>
    <w:p w:rsidR="000B68B2" w:rsidRPr="007C3996" w:rsidRDefault="000B68B2" w:rsidP="00620295">
      <w:pPr>
        <w:pStyle w:val="ListParagraph"/>
        <w:numPr>
          <w:ilvl w:val="0"/>
          <w:numId w:val="1"/>
        </w:numPr>
        <w:spacing w:line="240" w:lineRule="auto"/>
        <w:ind w:left="360"/>
        <w:rPr>
          <w:rFonts w:ascii="Calibri" w:hAnsi="Calibri"/>
          <w:color w:val="002060"/>
        </w:rPr>
      </w:pPr>
      <w:r w:rsidRPr="007C3996">
        <w:rPr>
          <w:rFonts w:ascii="Calibri" w:hAnsi="Calibri"/>
          <w:color w:val="002060"/>
        </w:rPr>
        <w:t xml:space="preserve">Treasurers </w:t>
      </w:r>
      <w:r w:rsidR="008563C4" w:rsidRPr="007C3996">
        <w:rPr>
          <w:rFonts w:ascii="Calibri" w:hAnsi="Calibri"/>
          <w:color w:val="002060"/>
        </w:rPr>
        <w:t xml:space="preserve">Report </w:t>
      </w:r>
      <w:r w:rsidR="008563C4">
        <w:rPr>
          <w:rFonts w:ascii="Calibri" w:hAnsi="Calibri"/>
          <w:color w:val="548DD4" w:themeColor="text2" w:themeTint="99"/>
        </w:rPr>
        <w:t>-</w:t>
      </w:r>
      <w:r w:rsidR="001B64C1">
        <w:rPr>
          <w:rFonts w:ascii="Calibri" w:hAnsi="Calibri"/>
          <w:color w:val="548DD4" w:themeColor="text2" w:themeTint="99"/>
        </w:rPr>
        <w:t xml:space="preserve"> See attached.  One remaining detail to resolve with conference hotel on attrition rate, and final conference report can be prepared for review at next meeting.</w:t>
      </w:r>
      <w:r w:rsidR="009D788E">
        <w:rPr>
          <w:rFonts w:ascii="Calibri" w:hAnsi="Calibri"/>
          <w:color w:val="548DD4" w:themeColor="text2" w:themeTint="99"/>
        </w:rPr>
        <w:t xml:space="preserve">  May want to adjust room usage rates in the future to reflect peak attendance on Sunday and diminishing attendance for future nights.</w:t>
      </w:r>
    </w:p>
    <w:p w:rsidR="00EC33EC" w:rsidRPr="00873694" w:rsidRDefault="00EC33EC" w:rsidP="00EC33EC">
      <w:pPr>
        <w:pStyle w:val="ListParagraph"/>
        <w:spacing w:line="240" w:lineRule="auto"/>
        <w:ind w:left="360"/>
        <w:rPr>
          <w:rFonts w:ascii="Calibri" w:hAnsi="Calibri"/>
          <w:color w:val="002060"/>
        </w:rPr>
      </w:pP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Pr="00052F5B"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r w:rsidR="009D788E">
        <w:rPr>
          <w:rFonts w:ascii="Calibri" w:hAnsi="Calibri"/>
          <w:color w:val="548DD4" w:themeColor="text2" w:themeTint="99"/>
        </w:rPr>
        <w:t xml:space="preserve"> – We changed vendors recently, and have had nearly daily contact since then.  Directors are loaded into the site and committee members will be receiving a test message soon.  Once it is confirmed the access is working, the remaining directors will be apprised.</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r w:rsidR="001B64C1">
        <w:rPr>
          <w:rFonts w:ascii="Calibri" w:hAnsi="Calibri"/>
          <w:color w:val="002060"/>
        </w:rPr>
        <w:t xml:space="preserve"> </w:t>
      </w:r>
      <w:r w:rsidR="001B64C1">
        <w:rPr>
          <w:rFonts w:ascii="Calibri" w:hAnsi="Calibri"/>
          <w:color w:val="548DD4" w:themeColor="text2" w:themeTint="99"/>
        </w:rPr>
        <w:t>– Nothing in addition to his Treasurer’s  report</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r w:rsidR="001B64C1">
        <w:rPr>
          <w:rFonts w:ascii="Calibri" w:hAnsi="Calibri"/>
          <w:color w:val="002060"/>
        </w:rPr>
        <w:t xml:space="preserve"> </w:t>
      </w:r>
      <w:r w:rsidR="001B64C1">
        <w:rPr>
          <w:rFonts w:ascii="Calibri" w:hAnsi="Calibri"/>
          <w:color w:val="548DD4" w:themeColor="text2" w:themeTint="99"/>
        </w:rPr>
        <w:t>– Not present; see attached</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p>
    <w:p w:rsidR="003C2366" w:rsidRDefault="003C2366" w:rsidP="003C2366">
      <w:pPr>
        <w:pStyle w:val="ListParagraph"/>
        <w:spacing w:line="240" w:lineRule="auto"/>
        <w:ind w:left="1080"/>
        <w:rPr>
          <w:rFonts w:ascii="Calibri" w:hAnsi="Calibri"/>
          <w:color w:val="002060"/>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All NCCSD Exec board should have received proposed letter with revisions from the Intergovernmental committee meeting yesterday, draft Transmittal #1, and compilation of the 35 states’ responses (not yet redacted).</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After yesterday’s meeting with feedback via each region’s committee representative, committee revised the second paragraph to bring to OCSE’s immediate attention the significant level of concern, ask them to hold this in abeyance with further meetings to be held.  Suggest a conference call meeting, or perhaps a meeting at WICSEC.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(Side note:  right now, Vickie does not know if she can attend the IV-D Director luncheon at its currently scheduled time—perhaps we need a breakfast meeting or some other sort of meeting time if this important issue can be discussed at least partially in person.  Already there is interest for directors not attending WICSEC to be able to listen in to the discussion.)</w:t>
      </w: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Other points of emphasis in the letter:  Unfunded mandates, payment histories for Non-IV-D closed cases, reviewed the PIQ related to Non-IV-D FFP expenses which seems to support the concerns for this Draft AT.  QUICK should be utilized where possible.  Employer forum—only state receiving payments should issue and IWO.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Compiled responses will be sent with the state/responder information redacted.  Many states have said they realized the full impact only after they started analyzing the document in response to the survey.</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Much discussion on the content of the letter.  Letter will be slightly modified to strengthen the idea that we do not want this AT issued and that we want further meetings.  Carol will work with the format.  All information in the draft letter will be shared in one format or another, but the location of the signature to end the actual letter vs information in an addendum may be adjusted.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Letter will be submitted early next week (Aug 22nd is the new deadline) as well as the redacted compilation of all comments received from the states.</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lastRenderedPageBreak/>
        <w:t>Suggestion that we start to develop a list of related items that we, as states, believe are “broken”--where we can focus, clarify and prioritize changes within existing UIFSA guidelines until UIFSA can possibly be changed.   Areas where compliance may be possible and changes could be beneficial to the process would be the focus.</w:t>
      </w:r>
    </w:p>
    <w:p w:rsidR="003C2366" w:rsidRDefault="003C2366" w:rsidP="003C2366">
      <w:pPr>
        <w:pStyle w:val="ListParagraph"/>
        <w:spacing w:line="240" w:lineRule="auto"/>
        <w:ind w:left="1080"/>
        <w:rPr>
          <w:rFonts w:ascii="Calibri" w:hAnsi="Calibri"/>
          <w:color w:val="002060"/>
        </w:rPr>
      </w:pP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Imput</w:t>
      </w:r>
      <w:r w:rsidR="0020151F">
        <w:rPr>
          <w:rFonts w:ascii="Calibri" w:hAnsi="Calibri"/>
          <w:color w:val="002060"/>
        </w:rPr>
        <w:t>ation</w:t>
      </w:r>
      <w:r w:rsidR="00856686">
        <w:rPr>
          <w:rFonts w:ascii="Calibri" w:hAnsi="Calibri"/>
          <w:color w:val="002060"/>
        </w:rPr>
        <w:t xml:space="preserve"> </w:t>
      </w:r>
      <w:r>
        <w:rPr>
          <w:rFonts w:ascii="Calibri" w:hAnsi="Calibri"/>
          <w:color w:val="002060"/>
        </w:rPr>
        <w:t>– Jim Fleming</w:t>
      </w:r>
      <w:r w:rsidR="003C2366">
        <w:rPr>
          <w:rFonts w:ascii="Calibri" w:hAnsi="Calibri"/>
          <w:color w:val="548DD4" w:themeColor="text2" w:themeTint="99"/>
        </w:rPr>
        <w:t xml:space="preserve"> – working on tabulating the responses to the remaining survey questions that have not already been presented, and hopes to wrap up the work for the committee in the next month or two.</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 Erin Frisch</w:t>
      </w:r>
      <w:r w:rsidR="001B64C1">
        <w:rPr>
          <w:rFonts w:ascii="Calibri" w:hAnsi="Calibri"/>
          <w:color w:val="002060"/>
        </w:rPr>
        <w:t xml:space="preserve"> </w:t>
      </w:r>
      <w:r w:rsidR="001B64C1">
        <w:rPr>
          <w:rFonts w:ascii="Calibri" w:hAnsi="Calibri"/>
          <w:color w:val="548DD4" w:themeColor="text2" w:themeTint="99"/>
        </w:rPr>
        <w:t>– Not present</w:t>
      </w:r>
    </w:p>
    <w:p w:rsidR="00FF5B30" w:rsidRDefault="00FF5B30" w:rsidP="00C449B0">
      <w:pPr>
        <w:pStyle w:val="ListParagraph"/>
        <w:numPr>
          <w:ilvl w:val="0"/>
          <w:numId w:val="10"/>
        </w:numPr>
        <w:spacing w:line="240" w:lineRule="auto"/>
        <w:rPr>
          <w:rFonts w:ascii="Calibri" w:hAnsi="Calibri"/>
          <w:color w:val="002060"/>
        </w:rPr>
      </w:pPr>
      <w:r>
        <w:rPr>
          <w:rFonts w:ascii="Calibri" w:hAnsi="Calibri"/>
          <w:color w:val="002060"/>
        </w:rPr>
        <w:t xml:space="preserve">IRS Audit – </w:t>
      </w:r>
      <w:r w:rsidR="007C3996">
        <w:rPr>
          <w:rFonts w:ascii="Calibri" w:hAnsi="Calibri"/>
          <w:color w:val="002060"/>
        </w:rPr>
        <w:t>Pat Risch</w:t>
      </w:r>
      <w:r w:rsidR="001B64C1">
        <w:rPr>
          <w:rFonts w:ascii="Calibri" w:hAnsi="Calibri"/>
          <w:color w:val="002060"/>
        </w:rPr>
        <w:t xml:space="preserve"> </w:t>
      </w:r>
      <w:r w:rsidR="001B64C1">
        <w:rPr>
          <w:rFonts w:ascii="Calibri" w:hAnsi="Calibri"/>
          <w:color w:val="548DD4" w:themeColor="text2" w:themeTint="99"/>
        </w:rPr>
        <w:t xml:space="preserve">– Not present.  Fleming noted a recent IRS site visit which concluded that North Dakota’s method for submitting tribal obligors for offset and disbursing collections to the tribe did </w:t>
      </w:r>
      <w:r w:rsidR="001B64C1">
        <w:rPr>
          <w:rFonts w:ascii="Calibri" w:hAnsi="Calibri"/>
          <w:color w:val="548DD4" w:themeColor="text2" w:themeTint="99"/>
          <w:u w:val="single"/>
        </w:rPr>
        <w:t>not</w:t>
      </w:r>
      <w:r w:rsidR="001B64C1">
        <w:rPr>
          <w:rFonts w:ascii="Calibri" w:hAnsi="Calibri"/>
          <w:color w:val="548DD4" w:themeColor="text2" w:themeTint="99"/>
        </w:rPr>
        <w:t xml:space="preserve"> entail the release of FTI.</w:t>
      </w:r>
      <w:r w:rsidR="00F671EE">
        <w:rPr>
          <w:rFonts w:ascii="Calibri" w:hAnsi="Calibri"/>
          <w:color w:val="548DD4" w:themeColor="text2" w:themeTint="99"/>
        </w:rPr>
        <w:t xml:space="preserve">  Eaton noted there was discussion among the committee members regarding the request to share Draft minutes with all directors as the meetings occur.  All members agreed that the minutes should be shared by the committee members with their respective regions and that they would continue distributing via that means.</w:t>
      </w:r>
    </w:p>
    <w:p w:rsidR="00B31993" w:rsidRDefault="00B31993" w:rsidP="00C449B0">
      <w:pPr>
        <w:pStyle w:val="ListParagraph"/>
        <w:numPr>
          <w:ilvl w:val="0"/>
          <w:numId w:val="10"/>
        </w:numPr>
        <w:spacing w:line="240" w:lineRule="auto"/>
        <w:rPr>
          <w:rFonts w:ascii="Calibri" w:hAnsi="Calibri"/>
          <w:color w:val="002060"/>
        </w:rPr>
      </w:pPr>
      <w:r w:rsidRPr="00D72ABA">
        <w:rPr>
          <w:rFonts w:ascii="Calibri" w:hAnsi="Calibri"/>
          <w:color w:val="002060"/>
        </w:rPr>
        <w:t>Conference Planning Committee – Carol Eaton</w:t>
      </w:r>
      <w:r w:rsidR="003C2366">
        <w:rPr>
          <w:rFonts w:ascii="Calibri" w:hAnsi="Calibri"/>
          <w:color w:val="548DD4" w:themeColor="text2" w:themeTint="99"/>
        </w:rPr>
        <w:t xml:space="preserve"> – nothing new except for what Fleming covered in the treasurer’s report.  McClure is visiting a hotel soon in Seattle with a tentative conference date in late May.</w:t>
      </w:r>
    </w:p>
    <w:p w:rsidR="005E04CF" w:rsidRPr="005E04CF" w:rsidRDefault="005E04CF" w:rsidP="005E04CF">
      <w:pPr>
        <w:spacing w:line="240" w:lineRule="auto"/>
        <w:ind w:left="90"/>
        <w:rPr>
          <w:rFonts w:ascii="Calibri" w:hAnsi="Calibri"/>
          <w:color w:val="002060"/>
        </w:rPr>
      </w:pPr>
    </w:p>
    <w:p w:rsidR="002D7482" w:rsidRDefault="009D788E" w:rsidP="00EA0CF8">
      <w:pPr>
        <w:pStyle w:val="ListParagraph"/>
        <w:numPr>
          <w:ilvl w:val="0"/>
          <w:numId w:val="1"/>
        </w:numPr>
        <w:spacing w:line="240" w:lineRule="auto"/>
        <w:rPr>
          <w:rFonts w:ascii="Calibri" w:hAnsi="Calibri"/>
          <w:color w:val="002060"/>
        </w:rPr>
      </w:pPr>
      <w:r>
        <w:rPr>
          <w:rFonts w:ascii="Calibri" w:hAnsi="Calibri"/>
          <w:color w:val="002060"/>
        </w:rPr>
        <w:t>N</w:t>
      </w:r>
      <w:r w:rsidR="008820D1" w:rsidRPr="006F27CF">
        <w:rPr>
          <w:rFonts w:ascii="Calibri" w:hAnsi="Calibri"/>
          <w:color w:val="002060"/>
        </w:rPr>
        <w:t>ew Business</w:t>
      </w:r>
      <w:r>
        <w:rPr>
          <w:rFonts w:ascii="Calibri" w:hAnsi="Calibri"/>
          <w:color w:val="548DD4" w:themeColor="text2" w:themeTint="99"/>
        </w:rPr>
        <w:t xml:space="preserve"> - None</w:t>
      </w:r>
    </w:p>
    <w:p w:rsidR="005E04CF" w:rsidRPr="005E04CF" w:rsidRDefault="005E04CF" w:rsidP="005E04CF">
      <w:pPr>
        <w:spacing w:line="240" w:lineRule="auto"/>
        <w:ind w:left="90"/>
        <w:rPr>
          <w:rFonts w:ascii="Calibri" w:hAnsi="Calibri"/>
          <w:color w:val="002060"/>
        </w:rPr>
      </w:pP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r w:rsidR="009D788E">
        <w:rPr>
          <w:rFonts w:ascii="Calibri" w:hAnsi="Calibri"/>
          <w:color w:val="548DD4" w:themeColor="text2" w:themeTint="99"/>
        </w:rPr>
        <w:t xml:space="preserve"> - None</w:t>
      </w:r>
    </w:p>
    <w:p w:rsidR="007C3996" w:rsidRPr="00193D8F" w:rsidRDefault="0059721B" w:rsidP="005E04CF">
      <w:pPr>
        <w:pStyle w:val="NoSpacing"/>
        <w:rPr>
          <w:rFonts w:ascii="Calibri" w:hAnsi="Calibri"/>
        </w:rPr>
      </w:pPr>
      <w:r w:rsidRPr="00481C3A">
        <w:rPr>
          <w:rFonts w:ascii="Calibri" w:hAnsi="Calibri"/>
          <w:color w:val="002060"/>
        </w:rPr>
        <w:t>Attachments:</w:t>
      </w:r>
      <w:r w:rsidR="005E04CF">
        <w:rPr>
          <w:rFonts w:ascii="Calibri" w:hAnsi="Calibri"/>
          <w:color w:val="002060"/>
        </w:rPr>
        <w:t xml:space="preserve">   </w:t>
      </w:r>
      <w:r w:rsidRPr="00193D8F">
        <w:rPr>
          <w:rFonts w:ascii="Calibri" w:hAnsi="Calibri"/>
        </w:rPr>
        <w:t xml:space="preserve">Minutes </w:t>
      </w:r>
      <w:r w:rsidR="00481C3A" w:rsidRPr="00193D8F">
        <w:rPr>
          <w:rFonts w:ascii="Calibri" w:hAnsi="Calibri"/>
        </w:rPr>
        <w:t>(</w:t>
      </w:r>
      <w:r w:rsidR="005E04CF" w:rsidRPr="00193D8F">
        <w:rPr>
          <w:rFonts w:ascii="Calibri" w:hAnsi="Calibri"/>
        </w:rPr>
        <w:t>July 21</w:t>
      </w:r>
      <w:r w:rsidR="00CF11BA" w:rsidRPr="00193D8F">
        <w:rPr>
          <w:rFonts w:ascii="Calibri" w:hAnsi="Calibri"/>
        </w:rPr>
        <w:t>)</w:t>
      </w:r>
      <w:r w:rsidR="008820D1" w:rsidRPr="00193D8F">
        <w:rPr>
          <w:rFonts w:ascii="Calibri" w:hAnsi="Calibri"/>
        </w:rPr>
        <w:t xml:space="preserve">  </w:t>
      </w:r>
      <w:r w:rsidR="005E04CF" w:rsidRPr="00233AB4">
        <w:rPr>
          <w:rFonts w:ascii="Calibri" w:hAnsi="Calibri"/>
        </w:rPr>
        <w:t xml:space="preserve">President’s Report  </w:t>
      </w:r>
      <w:r w:rsidR="00046B31" w:rsidRPr="00193D8F">
        <w:rPr>
          <w:rFonts w:ascii="Calibri" w:hAnsi="Calibri"/>
        </w:rPr>
        <w:t>Policy and Rules Doc</w:t>
      </w:r>
      <w:r w:rsidR="009D788E">
        <w:rPr>
          <w:rFonts w:ascii="Calibri" w:hAnsi="Calibri"/>
        </w:rPr>
        <w:t xml:space="preserve">  Treasurer’s Report</w:t>
      </w:r>
    </w:p>
    <w:sectPr w:rsidR="007C3996" w:rsidRPr="00193D8F"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0BE22B54"/>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5EC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E794E"/>
    <w:multiLevelType w:val="hybridMultilevel"/>
    <w:tmpl w:val="08F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3"/>
  </w:num>
  <w:num w:numId="5">
    <w:abstractNumId w:val="12"/>
  </w:num>
  <w:num w:numId="6">
    <w:abstractNumId w:val="0"/>
  </w:num>
  <w:num w:numId="7">
    <w:abstractNumId w:val="4"/>
  </w:num>
  <w:num w:numId="8">
    <w:abstractNumId w:val="1"/>
  </w:num>
  <w:num w:numId="9">
    <w:abstractNumId w:val="11"/>
  </w:num>
  <w:num w:numId="10">
    <w:abstractNumId w:val="5"/>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124DA"/>
    <w:rsid w:val="00032614"/>
    <w:rsid w:val="00046B31"/>
    <w:rsid w:val="00052F5B"/>
    <w:rsid w:val="00063857"/>
    <w:rsid w:val="000653B3"/>
    <w:rsid w:val="00074A94"/>
    <w:rsid w:val="00091BF3"/>
    <w:rsid w:val="000A09BF"/>
    <w:rsid w:val="000B68B2"/>
    <w:rsid w:val="000D48E8"/>
    <w:rsid w:val="000D4BD7"/>
    <w:rsid w:val="000E3C3C"/>
    <w:rsid w:val="001358ED"/>
    <w:rsid w:val="001702C9"/>
    <w:rsid w:val="0018357F"/>
    <w:rsid w:val="00193D8F"/>
    <w:rsid w:val="001B64C1"/>
    <w:rsid w:val="001D12C4"/>
    <w:rsid w:val="0020151F"/>
    <w:rsid w:val="00233AB4"/>
    <w:rsid w:val="002A05C2"/>
    <w:rsid w:val="002C1D8C"/>
    <w:rsid w:val="002D7482"/>
    <w:rsid w:val="0035068B"/>
    <w:rsid w:val="00355E08"/>
    <w:rsid w:val="00357288"/>
    <w:rsid w:val="003C2366"/>
    <w:rsid w:val="003D4AF0"/>
    <w:rsid w:val="003E5DDB"/>
    <w:rsid w:val="003F0DB9"/>
    <w:rsid w:val="003F647D"/>
    <w:rsid w:val="004458CD"/>
    <w:rsid w:val="00480319"/>
    <w:rsid w:val="00481C3A"/>
    <w:rsid w:val="00490565"/>
    <w:rsid w:val="00490B69"/>
    <w:rsid w:val="004A7C21"/>
    <w:rsid w:val="004C5A3B"/>
    <w:rsid w:val="004D28E9"/>
    <w:rsid w:val="005004A4"/>
    <w:rsid w:val="00521B00"/>
    <w:rsid w:val="00575605"/>
    <w:rsid w:val="00594FB6"/>
    <w:rsid w:val="0059721B"/>
    <w:rsid w:val="005B39F8"/>
    <w:rsid w:val="005E04CF"/>
    <w:rsid w:val="00604345"/>
    <w:rsid w:val="00620295"/>
    <w:rsid w:val="0062328E"/>
    <w:rsid w:val="006351AA"/>
    <w:rsid w:val="006835EC"/>
    <w:rsid w:val="006A6DF2"/>
    <w:rsid w:val="006D4A46"/>
    <w:rsid w:val="006F27CF"/>
    <w:rsid w:val="00711DC3"/>
    <w:rsid w:val="00766960"/>
    <w:rsid w:val="00784A6C"/>
    <w:rsid w:val="007870D8"/>
    <w:rsid w:val="00797371"/>
    <w:rsid w:val="007B3903"/>
    <w:rsid w:val="007C3996"/>
    <w:rsid w:val="007E4A79"/>
    <w:rsid w:val="007E7090"/>
    <w:rsid w:val="0084721E"/>
    <w:rsid w:val="0085515E"/>
    <w:rsid w:val="008563C4"/>
    <w:rsid w:val="00856686"/>
    <w:rsid w:val="00873694"/>
    <w:rsid w:val="00876BE0"/>
    <w:rsid w:val="008820D1"/>
    <w:rsid w:val="008C5FEC"/>
    <w:rsid w:val="00900525"/>
    <w:rsid w:val="009202B7"/>
    <w:rsid w:val="00946722"/>
    <w:rsid w:val="0097265F"/>
    <w:rsid w:val="009A0071"/>
    <w:rsid w:val="009A520F"/>
    <w:rsid w:val="009B60C9"/>
    <w:rsid w:val="009D788E"/>
    <w:rsid w:val="00A660B7"/>
    <w:rsid w:val="00A91495"/>
    <w:rsid w:val="00AA12D2"/>
    <w:rsid w:val="00AA797F"/>
    <w:rsid w:val="00AB22EC"/>
    <w:rsid w:val="00AC1FF4"/>
    <w:rsid w:val="00AC2E42"/>
    <w:rsid w:val="00AC6697"/>
    <w:rsid w:val="00B31993"/>
    <w:rsid w:val="00B31DF6"/>
    <w:rsid w:val="00B61C8D"/>
    <w:rsid w:val="00B67EFF"/>
    <w:rsid w:val="00B9015B"/>
    <w:rsid w:val="00BC1FCB"/>
    <w:rsid w:val="00BC3742"/>
    <w:rsid w:val="00BF495C"/>
    <w:rsid w:val="00C449B0"/>
    <w:rsid w:val="00C71EB3"/>
    <w:rsid w:val="00CE50E3"/>
    <w:rsid w:val="00CF11BA"/>
    <w:rsid w:val="00CF12C6"/>
    <w:rsid w:val="00D35C8C"/>
    <w:rsid w:val="00D72ABA"/>
    <w:rsid w:val="00DA5E61"/>
    <w:rsid w:val="00DB158E"/>
    <w:rsid w:val="00DC0BBA"/>
    <w:rsid w:val="00DC7F59"/>
    <w:rsid w:val="00E15860"/>
    <w:rsid w:val="00E51E75"/>
    <w:rsid w:val="00E57686"/>
    <w:rsid w:val="00E83CC2"/>
    <w:rsid w:val="00EA0CF8"/>
    <w:rsid w:val="00EC33EC"/>
    <w:rsid w:val="00F66039"/>
    <w:rsid w:val="00F671EE"/>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22EE8-18CA-4503-8927-02443E9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84726">
      <w:bodyDiv w:val="1"/>
      <w:marLeft w:val="0"/>
      <w:marRight w:val="0"/>
      <w:marTop w:val="0"/>
      <w:marBottom w:val="0"/>
      <w:divBdr>
        <w:top w:val="none" w:sz="0" w:space="0" w:color="auto"/>
        <w:left w:val="none" w:sz="0" w:space="0" w:color="auto"/>
        <w:bottom w:val="none" w:sz="0" w:space="0" w:color="auto"/>
        <w:right w:val="none" w:sz="0" w:space="0" w:color="auto"/>
      </w:divBdr>
    </w:div>
    <w:div w:id="428282247">
      <w:bodyDiv w:val="1"/>
      <w:marLeft w:val="0"/>
      <w:marRight w:val="0"/>
      <w:marTop w:val="0"/>
      <w:marBottom w:val="0"/>
      <w:divBdr>
        <w:top w:val="none" w:sz="0" w:space="0" w:color="auto"/>
        <w:left w:val="none" w:sz="0" w:space="0" w:color="auto"/>
        <w:bottom w:val="none" w:sz="0" w:space="0" w:color="auto"/>
        <w:right w:val="none" w:sz="0" w:space="0" w:color="auto"/>
      </w:divBdr>
    </w:div>
    <w:div w:id="911811302">
      <w:bodyDiv w:val="1"/>
      <w:marLeft w:val="0"/>
      <w:marRight w:val="0"/>
      <w:marTop w:val="0"/>
      <w:marBottom w:val="0"/>
      <w:divBdr>
        <w:top w:val="none" w:sz="0" w:space="0" w:color="auto"/>
        <w:left w:val="none" w:sz="0" w:space="0" w:color="auto"/>
        <w:bottom w:val="none" w:sz="0" w:space="0" w:color="auto"/>
        <w:right w:val="none" w:sz="0" w:space="0" w:color="auto"/>
      </w:divBdr>
    </w:div>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cp:lastPrinted>2016-08-18T17:44:00Z</cp:lastPrinted>
  <dcterms:created xsi:type="dcterms:W3CDTF">2016-09-06T14:10:00Z</dcterms:created>
  <dcterms:modified xsi:type="dcterms:W3CDTF">2016-09-06T14:10:00Z</dcterms:modified>
</cp:coreProperties>
</file>