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1712C" w14:textId="77777777" w:rsidR="00115054" w:rsidRDefault="00115054" w:rsidP="00115054">
      <w:pPr>
        <w:rPr>
          <w:rFonts w:ascii="Arial" w:hAnsi="Arial" w:cs="Arial"/>
        </w:rPr>
      </w:pPr>
      <w:r>
        <w:rPr>
          <w:rFonts w:ascii="Arial" w:hAnsi="Arial" w:cs="Arial"/>
        </w:rPr>
        <w:t>Sheila, regarding the agenda item on the call today about financial training, attached for further clarification and discussion is a draft description.</w:t>
      </w:r>
    </w:p>
    <w:p w14:paraId="5CEF8F4E" w14:textId="77777777" w:rsidR="00115054" w:rsidRDefault="00115054" w:rsidP="00115054">
      <w:pPr>
        <w:rPr>
          <w:rFonts w:ascii="Arial" w:hAnsi="Arial" w:cs="Arial"/>
        </w:rPr>
      </w:pPr>
    </w:p>
    <w:p w14:paraId="6D5999F2" w14:textId="77777777" w:rsidR="00115054" w:rsidRDefault="00115054" w:rsidP="00115054">
      <w:pPr>
        <w:rPr>
          <w:rFonts w:ascii="Arial" w:hAnsi="Arial" w:cs="Arial"/>
        </w:rPr>
      </w:pPr>
      <w:r>
        <w:rPr>
          <w:rFonts w:ascii="Arial" w:hAnsi="Arial" w:cs="Arial"/>
        </w:rPr>
        <w:t>Some questions related to this draft:</w:t>
      </w:r>
    </w:p>
    <w:p w14:paraId="2173C75C" w14:textId="77777777" w:rsidR="00115054" w:rsidRDefault="00115054" w:rsidP="00115054">
      <w:pPr>
        <w:rPr>
          <w:rFonts w:ascii="Arial" w:hAnsi="Arial" w:cs="Arial"/>
        </w:rPr>
      </w:pPr>
    </w:p>
    <w:p w14:paraId="71B3E45E" w14:textId="77777777" w:rsidR="00115054" w:rsidRDefault="00115054" w:rsidP="00115054">
      <w:pPr>
        <w:numPr>
          <w:ilvl w:val="0"/>
          <w:numId w:val="1"/>
        </w:numPr>
        <w:spacing w:after="0" w:line="240" w:lineRule="auto"/>
        <w:rPr>
          <w:rFonts w:ascii="Arial" w:eastAsia="Times New Roman" w:hAnsi="Arial" w:cs="Arial"/>
        </w:rPr>
      </w:pPr>
      <w:r>
        <w:rPr>
          <w:rFonts w:ascii="Arial" w:eastAsia="Times New Roman" w:hAnsi="Arial" w:cs="Arial"/>
        </w:rPr>
        <w:t>Is the target audience finance managers or IV-D directors, or both?</w:t>
      </w:r>
    </w:p>
    <w:p w14:paraId="1D4CE316" w14:textId="77777777" w:rsidR="00115054" w:rsidRDefault="00115054" w:rsidP="00115054">
      <w:pPr>
        <w:numPr>
          <w:ilvl w:val="0"/>
          <w:numId w:val="1"/>
        </w:numPr>
        <w:spacing w:after="0" w:line="240" w:lineRule="auto"/>
        <w:rPr>
          <w:rFonts w:ascii="Arial" w:eastAsia="Times New Roman" w:hAnsi="Arial" w:cs="Arial"/>
        </w:rPr>
      </w:pPr>
      <w:r>
        <w:rPr>
          <w:rFonts w:ascii="Arial" w:eastAsia="Times New Roman" w:hAnsi="Arial" w:cs="Arial"/>
        </w:rPr>
        <w:t>How far do we want to get into distribution and disbursement?  At least knowing there is a law or regulation on something helps to highlight the importance of it.  They don’t need to know the law or regulation verbatim, just that there are laws and regulations governing this stuff.</w:t>
      </w:r>
    </w:p>
    <w:p w14:paraId="29B07D10" w14:textId="77777777" w:rsidR="00115054" w:rsidRDefault="00115054" w:rsidP="00115054">
      <w:pPr>
        <w:numPr>
          <w:ilvl w:val="0"/>
          <w:numId w:val="1"/>
        </w:numPr>
        <w:spacing w:after="0" w:line="240" w:lineRule="auto"/>
        <w:rPr>
          <w:rFonts w:ascii="Arial" w:eastAsia="Times New Roman" w:hAnsi="Arial" w:cs="Arial"/>
        </w:rPr>
      </w:pPr>
      <w:r>
        <w:rPr>
          <w:rFonts w:ascii="Arial" w:eastAsia="Times New Roman" w:hAnsi="Arial" w:cs="Arial"/>
        </w:rPr>
        <w:t>For 157 lines 26 and 27, it could be a detailed training in itself.  Do we want that, or a higher-level overview?</w:t>
      </w:r>
    </w:p>
    <w:p w14:paraId="72BA9FE2" w14:textId="77777777" w:rsidR="00115054" w:rsidRDefault="00115054" w:rsidP="00115054">
      <w:pPr>
        <w:numPr>
          <w:ilvl w:val="0"/>
          <w:numId w:val="1"/>
        </w:numPr>
        <w:spacing w:after="0" w:line="240" w:lineRule="auto"/>
        <w:rPr>
          <w:rFonts w:ascii="Arial" w:eastAsia="Times New Roman" w:hAnsi="Arial" w:cs="Arial"/>
        </w:rPr>
      </w:pPr>
      <w:r>
        <w:rPr>
          <w:rFonts w:ascii="Arial" w:eastAsia="Times New Roman" w:hAnsi="Arial" w:cs="Arial"/>
        </w:rPr>
        <w:t>In reviewing financial modules from state computer systems, should we include reference or discussion of the federal certification guide and its requirements related to financials?</w:t>
      </w:r>
    </w:p>
    <w:p w14:paraId="7C948F78" w14:textId="77777777" w:rsidR="00115054" w:rsidRDefault="00115054" w:rsidP="00115054">
      <w:pPr>
        <w:numPr>
          <w:ilvl w:val="0"/>
          <w:numId w:val="1"/>
        </w:numPr>
        <w:spacing w:after="0" w:line="240" w:lineRule="auto"/>
        <w:rPr>
          <w:rFonts w:ascii="Arial" w:eastAsia="Times New Roman" w:hAnsi="Arial" w:cs="Arial"/>
        </w:rPr>
      </w:pPr>
      <w:r>
        <w:rPr>
          <w:rFonts w:ascii="Arial" w:eastAsia="Times New Roman" w:hAnsi="Arial" w:cs="Arial"/>
        </w:rPr>
        <w:t>In the likely event that states will often not have the luxury of the outgoing finance manager being able to train the new one, a contact from the Grant Management Office would be extremely helpful for new finance managers to answer questions and provide guidance.  Anyone else who could serve that role, such as Lisa Johnson or regional program specialists?</w:t>
      </w:r>
    </w:p>
    <w:p w14:paraId="6A50DDDC" w14:textId="77777777" w:rsidR="00115054" w:rsidRDefault="00115054" w:rsidP="00115054">
      <w:pPr>
        <w:rPr>
          <w:rFonts w:ascii="Arial" w:hAnsi="Arial" w:cs="Arial"/>
        </w:rPr>
      </w:pPr>
    </w:p>
    <w:p w14:paraId="3B5C3716" w14:textId="77777777" w:rsidR="00115054" w:rsidRDefault="00115054" w:rsidP="00115054">
      <w:pPr>
        <w:rPr>
          <w:rFonts w:ascii="Lucida Handwriting" w:hAnsi="Lucida Handwriting" w:cs="Times New Roman"/>
          <w:b/>
          <w:bCs/>
          <w:color w:val="00A0DD"/>
          <w:sz w:val="32"/>
          <w:szCs w:val="32"/>
        </w:rPr>
      </w:pPr>
      <w:r>
        <w:rPr>
          <w:rFonts w:ascii="Lucida Handwriting" w:hAnsi="Lucida Handwriting"/>
          <w:b/>
          <w:bCs/>
          <w:color w:val="00A0DD"/>
          <w:sz w:val="32"/>
          <w:szCs w:val="32"/>
        </w:rPr>
        <w:t xml:space="preserve">Jim </w:t>
      </w:r>
    </w:p>
    <w:p w14:paraId="5BBA0BA0" w14:textId="77777777" w:rsidR="00115054" w:rsidRDefault="00115054" w:rsidP="00115054">
      <w:pPr>
        <w:rPr>
          <w:rFonts w:ascii="Lucida Handwriting" w:hAnsi="Lucida Handwriting"/>
          <w:b/>
          <w:bCs/>
          <w:color w:val="00A0DD"/>
          <w:sz w:val="18"/>
          <w:szCs w:val="18"/>
        </w:rPr>
      </w:pPr>
    </w:p>
    <w:p w14:paraId="0B5CE1A7" w14:textId="77777777" w:rsidR="00115054" w:rsidRDefault="00115054" w:rsidP="00115054">
      <w:pPr>
        <w:rPr>
          <w:rFonts w:ascii="Arial" w:hAnsi="Arial" w:cs="Arial"/>
          <w:color w:val="00A0DD"/>
          <w:sz w:val="26"/>
          <w:szCs w:val="26"/>
        </w:rPr>
      </w:pPr>
      <w:r>
        <w:rPr>
          <w:rFonts w:ascii="Arial" w:hAnsi="Arial" w:cs="Arial"/>
          <w:color w:val="00A0DD"/>
          <w:sz w:val="26"/>
          <w:szCs w:val="26"/>
        </w:rPr>
        <w:t>James Fleming</w:t>
      </w:r>
    </w:p>
    <w:p w14:paraId="0549860F" w14:textId="77777777" w:rsidR="00115054" w:rsidRDefault="00115054" w:rsidP="00115054">
      <w:pPr>
        <w:rPr>
          <w:rFonts w:ascii="Arial" w:hAnsi="Arial" w:cs="Arial"/>
          <w:i/>
          <w:iCs/>
          <w:sz w:val="20"/>
          <w:szCs w:val="20"/>
        </w:rPr>
      </w:pPr>
      <w:r>
        <w:rPr>
          <w:rFonts w:ascii="Arial" w:hAnsi="Arial" w:cs="Arial"/>
          <w:i/>
          <w:iCs/>
          <w:sz w:val="20"/>
          <w:szCs w:val="20"/>
        </w:rPr>
        <w:t>Director</w:t>
      </w:r>
    </w:p>
    <w:p w14:paraId="70A89E60" w14:textId="77777777" w:rsidR="00115054" w:rsidRDefault="00115054" w:rsidP="00115054">
      <w:pPr>
        <w:rPr>
          <w:rFonts w:ascii="Arial" w:hAnsi="Arial" w:cs="Arial"/>
          <w:i/>
          <w:iCs/>
          <w:sz w:val="20"/>
          <w:szCs w:val="20"/>
        </w:rPr>
      </w:pPr>
    </w:p>
    <w:p w14:paraId="0FD0BA2B" w14:textId="77777777" w:rsidR="00115054" w:rsidRDefault="00115054" w:rsidP="00115054">
      <w:pPr>
        <w:rPr>
          <w:rFonts w:ascii="Arial" w:hAnsi="Arial" w:cs="Arial"/>
          <w:sz w:val="20"/>
          <w:szCs w:val="20"/>
        </w:rPr>
      </w:pPr>
      <w:hyperlink r:id="rId5" w:history="1">
        <w:r>
          <w:rPr>
            <w:rStyle w:val="Hyperlink"/>
            <w:rFonts w:ascii="Arial" w:hAnsi="Arial" w:cs="Arial"/>
            <w:color w:val="0563C1"/>
            <w:sz w:val="20"/>
            <w:szCs w:val="20"/>
          </w:rPr>
          <w:t>jfleming@nd.gov</w:t>
        </w:r>
      </w:hyperlink>
      <w:r>
        <w:rPr>
          <w:rFonts w:ascii="Arial" w:hAnsi="Arial" w:cs="Arial"/>
          <w:color w:val="000000"/>
          <w:sz w:val="20"/>
          <w:szCs w:val="20"/>
        </w:rPr>
        <w:t xml:space="preserve">     </w:t>
      </w:r>
      <w:r>
        <w:rPr>
          <w:rFonts w:ascii="Arial" w:hAnsi="Arial" w:cs="Arial"/>
          <w:color w:val="D34727"/>
          <w:sz w:val="20"/>
          <w:szCs w:val="20"/>
        </w:rPr>
        <w:t>•</w:t>
      </w:r>
      <w:r>
        <w:rPr>
          <w:rFonts w:ascii="Arial" w:hAnsi="Arial" w:cs="Arial"/>
          <w:color w:val="000000"/>
          <w:sz w:val="20"/>
          <w:szCs w:val="20"/>
        </w:rPr>
        <w:t xml:space="preserve">     </w:t>
      </w:r>
      <w:hyperlink r:id="rId6" w:history="1">
        <w:r>
          <w:rPr>
            <w:rStyle w:val="Hyperlink"/>
            <w:rFonts w:ascii="Arial" w:hAnsi="Arial" w:cs="Arial"/>
            <w:color w:val="0563C1"/>
            <w:sz w:val="20"/>
            <w:szCs w:val="20"/>
          </w:rPr>
          <w:t>childsupportnd.com</w:t>
        </w:r>
      </w:hyperlink>
    </w:p>
    <w:p w14:paraId="5582CFAC" w14:textId="77777777" w:rsidR="00115054" w:rsidRDefault="00115054" w:rsidP="00115054">
      <w:pPr>
        <w:rPr>
          <w:rFonts w:ascii="Arial" w:hAnsi="Arial" w:cs="Arial"/>
          <w:i/>
          <w:iCs/>
          <w:sz w:val="20"/>
          <w:szCs w:val="20"/>
        </w:rPr>
      </w:pPr>
    </w:p>
    <w:p w14:paraId="1665E156" w14:textId="78F14C37" w:rsidR="00115054" w:rsidRDefault="00115054" w:rsidP="00115054">
      <w:pPr>
        <w:rPr>
          <w:rFonts w:ascii="Arial" w:hAnsi="Arial" w:cs="Arial"/>
          <w:i/>
          <w:iCs/>
          <w:sz w:val="20"/>
          <w:szCs w:val="20"/>
        </w:rPr>
      </w:pPr>
      <w:r>
        <w:rPr>
          <w:rFonts w:ascii="Calibri" w:hAnsi="Calibri" w:cs="Calibri"/>
          <w:noProof/>
        </w:rPr>
        <w:drawing>
          <wp:inline distT="0" distB="0" distL="0" distR="0" wp14:anchorId="4464D879" wp14:editId="14D98C8A">
            <wp:extent cx="2771775" cy="685800"/>
            <wp:effectExtent l="0" t="0" r="9525" b="0"/>
            <wp:docPr id="1" name="Picture 1" descr="cid:image002.png@01D592F6.561B2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592F6.561B2F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71775" cy="685800"/>
                    </a:xfrm>
                    <a:prstGeom prst="rect">
                      <a:avLst/>
                    </a:prstGeom>
                    <a:noFill/>
                    <a:ln>
                      <a:noFill/>
                    </a:ln>
                  </pic:spPr>
                </pic:pic>
              </a:graphicData>
            </a:graphic>
          </wp:inline>
        </w:drawing>
      </w:r>
    </w:p>
    <w:p w14:paraId="611CCDFF" w14:textId="77777777" w:rsidR="00115054" w:rsidRDefault="00115054">
      <w:pPr>
        <w:rPr>
          <w:b/>
        </w:rPr>
      </w:pPr>
      <w:bookmarkStart w:id="0" w:name="_GoBack"/>
      <w:bookmarkEnd w:id="0"/>
      <w:r>
        <w:rPr>
          <w:b/>
        </w:rPr>
        <w:br w:type="page"/>
      </w:r>
    </w:p>
    <w:p w14:paraId="34826FCF" w14:textId="1CF43EE0" w:rsidR="00DA78D6" w:rsidRPr="00DA78D6" w:rsidRDefault="007140E5">
      <w:pPr>
        <w:rPr>
          <w:b/>
        </w:rPr>
      </w:pPr>
      <w:r w:rsidRPr="00DA78D6">
        <w:rPr>
          <w:b/>
        </w:rPr>
        <w:t>Training on Financial Components of the Child Support Program</w:t>
      </w:r>
      <w:r w:rsidR="00DA78D6" w:rsidRPr="00DA78D6">
        <w:rPr>
          <w:b/>
        </w:rPr>
        <w:t>- Modules</w:t>
      </w:r>
      <w:r w:rsidR="003A42CB">
        <w:rPr>
          <w:b/>
        </w:rPr>
        <w:t xml:space="preserve"> (DRAFT November 4, 2019)</w:t>
      </w:r>
    </w:p>
    <w:p w14:paraId="0B082395" w14:textId="77777777" w:rsidR="00DA78D6" w:rsidRDefault="00DA78D6">
      <w:pPr>
        <w:rPr>
          <w:b/>
        </w:rPr>
      </w:pPr>
    </w:p>
    <w:p w14:paraId="5249B444" w14:textId="48578BB4" w:rsidR="007140E5" w:rsidRDefault="00DA78D6">
      <w:r>
        <w:rPr>
          <w:b/>
        </w:rPr>
        <w:t>C</w:t>
      </w:r>
      <w:r w:rsidRPr="00DA78D6">
        <w:rPr>
          <w:b/>
        </w:rPr>
        <w:t xml:space="preserve">hild </w:t>
      </w:r>
      <w:r>
        <w:rPr>
          <w:b/>
        </w:rPr>
        <w:t>S</w:t>
      </w:r>
      <w:r w:rsidRPr="00DA78D6">
        <w:rPr>
          <w:b/>
        </w:rPr>
        <w:t xml:space="preserve">upport </w:t>
      </w:r>
      <w:r>
        <w:rPr>
          <w:b/>
        </w:rPr>
        <w:t xml:space="preserve">Financial </w:t>
      </w:r>
      <w:r w:rsidRPr="00DA78D6">
        <w:rPr>
          <w:b/>
        </w:rPr>
        <w:t>101</w:t>
      </w:r>
      <w:r>
        <w:t>- From entry of the order, to distribution, to es</w:t>
      </w:r>
      <w:r w:rsidR="005F3662">
        <w:t>c</w:t>
      </w:r>
      <w:r>
        <w:t xml:space="preserve">heatment </w:t>
      </w:r>
      <w:r w:rsidR="005F3662">
        <w:t>-</w:t>
      </w:r>
      <w:r>
        <w:t>a general overview of the travel of child support payments</w:t>
      </w:r>
      <w:r w:rsidR="00EB109E">
        <w:t xml:space="preserve">; </w:t>
      </w:r>
      <w:r w:rsidR="00B85E31">
        <w:t>r</w:t>
      </w:r>
      <w:r w:rsidR="00EB109E">
        <w:t xml:space="preserve">oles and relationship of IV-D Directors and </w:t>
      </w:r>
      <w:r w:rsidR="00B85E31">
        <w:t>f</w:t>
      </w:r>
      <w:r w:rsidR="00EB109E">
        <w:t xml:space="preserve">inance </w:t>
      </w:r>
      <w:r w:rsidR="00B85E31">
        <w:t>m</w:t>
      </w:r>
      <w:r w:rsidR="00EB109E">
        <w:t>anagers</w:t>
      </w:r>
    </w:p>
    <w:p w14:paraId="709563D3" w14:textId="77777777" w:rsidR="00E30D34" w:rsidRDefault="00E30D34">
      <w:r>
        <w:t>High level overview of relevant CFRs</w:t>
      </w:r>
    </w:p>
    <w:p w14:paraId="1519C900" w14:textId="77777777" w:rsidR="007D62CA" w:rsidRDefault="007140E5" w:rsidP="007D62CA">
      <w:r w:rsidRPr="00FA5564">
        <w:rPr>
          <w:b/>
        </w:rPr>
        <w:t>Federal Reporting on line</w:t>
      </w:r>
      <w:r>
        <w:t xml:space="preserve">- </w:t>
      </w:r>
      <w:r w:rsidR="007D62CA">
        <w:t>components of the various lines of each report (424, 157, 34, 396) and how to access OLDC. Various ways states gather information and populate the report (automation, manually)</w:t>
      </w:r>
    </w:p>
    <w:p w14:paraId="25473C14" w14:textId="35D130B4" w:rsidR="007D62CA" w:rsidRDefault="007140E5" w:rsidP="007D62CA">
      <w:r w:rsidRPr="00FA5564">
        <w:rPr>
          <w:b/>
        </w:rPr>
        <w:t>Financial audit Issues</w:t>
      </w:r>
      <w:r>
        <w:t>-</w:t>
      </w:r>
      <w:r w:rsidR="00DA78D6">
        <w:t xml:space="preserve"> </w:t>
      </w:r>
    </w:p>
    <w:p w14:paraId="2524D0B9" w14:textId="77777777" w:rsidR="007140E5" w:rsidRDefault="00DA78D6">
      <w:r>
        <w:t xml:space="preserve">A review of all lines </w:t>
      </w:r>
      <w:r w:rsidR="00F36AA8">
        <w:t xml:space="preserve">on the 157 report </w:t>
      </w:r>
      <w:r>
        <w:t xml:space="preserve">but in </w:t>
      </w:r>
      <w:r w:rsidR="00F36AA8">
        <w:t>p</w:t>
      </w:r>
      <w:r>
        <w:t>articular the lines affecting collection and distribution</w:t>
      </w:r>
      <w:r w:rsidR="007140E5">
        <w:t xml:space="preserve"> Lines 26 and 27 Instructions and common issues</w:t>
      </w:r>
    </w:p>
    <w:p w14:paraId="10680F31" w14:textId="7C89572D" w:rsidR="007140E5" w:rsidRDefault="007140E5">
      <w:r w:rsidRPr="00FA5564">
        <w:rPr>
          <w:b/>
        </w:rPr>
        <w:t xml:space="preserve">OCSE </w:t>
      </w:r>
      <w:r w:rsidR="00F36AA8">
        <w:rPr>
          <w:b/>
        </w:rPr>
        <w:t xml:space="preserve">396 </w:t>
      </w:r>
      <w:r>
        <w:t>- discussion of program income, appropriate expenditures review of A 87</w:t>
      </w:r>
      <w:r w:rsidR="00DA78D6">
        <w:t xml:space="preserve">. How to segregate costs for items covered by the state (visitation, employment activities) </w:t>
      </w:r>
    </w:p>
    <w:p w14:paraId="031B974E" w14:textId="77777777" w:rsidR="007140E5" w:rsidRDefault="007140E5">
      <w:r w:rsidRPr="00FA5564">
        <w:rPr>
          <w:b/>
        </w:rPr>
        <w:t xml:space="preserve">Limited Cost </w:t>
      </w:r>
      <w:r w:rsidR="00A12ECD">
        <w:rPr>
          <w:b/>
        </w:rPr>
        <w:t>A</w:t>
      </w:r>
      <w:r w:rsidRPr="00FA5564">
        <w:rPr>
          <w:b/>
        </w:rPr>
        <w:t>udit</w:t>
      </w:r>
      <w:r>
        <w:t xml:space="preserve"> – </w:t>
      </w:r>
      <w:r w:rsidR="00A12ECD">
        <w:t xml:space="preserve">Types of financial audits, </w:t>
      </w:r>
      <w:r w:rsidR="00811F1F">
        <w:t xml:space="preserve">method of performing audit, </w:t>
      </w:r>
      <w:r>
        <w:t>ramifications</w:t>
      </w:r>
      <w:r w:rsidR="00A12ECD">
        <w:t xml:space="preserve"> for failure</w:t>
      </w:r>
      <w:r>
        <w:t>, calculation of indirect cost rate for Judiciary and State Department for federal reimbursement</w:t>
      </w:r>
    </w:p>
    <w:p w14:paraId="54885045" w14:textId="77777777" w:rsidR="007140E5" w:rsidRDefault="007140E5">
      <w:r w:rsidRPr="00FA5564">
        <w:rPr>
          <w:b/>
        </w:rPr>
        <w:t>Incentive dollars</w:t>
      </w:r>
      <w:r>
        <w:t xml:space="preserve">- calculation of, estimating incentive dollars, ramifications of overestimating, segregating to avoid 66% reimbursement, </w:t>
      </w:r>
    </w:p>
    <w:p w14:paraId="0C7C451B" w14:textId="3BE26384" w:rsidR="007140E5" w:rsidRDefault="007140E5">
      <w:r w:rsidRPr="00FA5564">
        <w:rPr>
          <w:b/>
        </w:rPr>
        <w:t>Data Reliability Audit- Issues</w:t>
      </w:r>
      <w:r>
        <w:t>, financial ramifications for failure of a performance measure, corrective action plan</w:t>
      </w:r>
      <w:r w:rsidR="00DA78D6">
        <w:t xml:space="preserve">, payment of penalty, process to challenge findings.  </w:t>
      </w:r>
      <w:r>
        <w:t>How does the State Audit coincide</w:t>
      </w:r>
      <w:r w:rsidR="00FA5564">
        <w:t xml:space="preserve"> or relate to </w:t>
      </w:r>
      <w:r>
        <w:t>the federal audit</w:t>
      </w:r>
      <w:r w:rsidR="00DA78D6">
        <w:t xml:space="preserve"> where issues overlap</w:t>
      </w:r>
      <w:r w:rsidR="00EB109E">
        <w:t>; Roles and Communication between the state and OCSE and auditors; writing responses to the audit report</w:t>
      </w:r>
    </w:p>
    <w:p w14:paraId="1673E5B7" w14:textId="77777777" w:rsidR="00DA78D6" w:rsidRDefault="00DA78D6">
      <w:r w:rsidRPr="00DA78D6">
        <w:rPr>
          <w:b/>
        </w:rPr>
        <w:t>Recoupment-</w:t>
      </w:r>
      <w:r>
        <w:t xml:space="preserve"> When is it appropriate</w:t>
      </w:r>
      <w:r w:rsidR="00811F1F">
        <w:t xml:space="preserve">, </w:t>
      </w:r>
      <w:proofErr w:type="spellStart"/>
      <w:r w:rsidR="00811F1F">
        <w:t>form</w:t>
      </w:r>
      <w:proofErr w:type="spellEnd"/>
      <w:r w:rsidR="00811F1F">
        <w:t xml:space="preserve"> whom </w:t>
      </w:r>
      <w:proofErr w:type="spellStart"/>
      <w:r w:rsidR="00811F1F">
        <w:t>cp</w:t>
      </w:r>
      <w:proofErr w:type="spellEnd"/>
      <w:r w:rsidR="00811F1F">
        <w:t xml:space="preserve"> or </w:t>
      </w:r>
      <w:proofErr w:type="spellStart"/>
      <w:r w:rsidR="00811F1F">
        <w:t>ncp</w:t>
      </w:r>
      <w:proofErr w:type="spellEnd"/>
      <w:r w:rsidR="00811F1F">
        <w:t>,</w:t>
      </w:r>
      <w:r>
        <w:t xml:space="preserve"> and best practices on how to recoup.</w:t>
      </w:r>
    </w:p>
    <w:p w14:paraId="77406D33" w14:textId="77777777" w:rsidR="00EB109E" w:rsidRDefault="00EB109E">
      <w:r>
        <w:t xml:space="preserve">Recovery – debt now owed to the State (such as FEDO reversals and bad checks); best practices </w:t>
      </w:r>
    </w:p>
    <w:p w14:paraId="7DAA47EB" w14:textId="77777777" w:rsidR="007140E5" w:rsidRDefault="007140E5">
      <w:r w:rsidRPr="00FA5564">
        <w:rPr>
          <w:b/>
        </w:rPr>
        <w:t>Account reconciliation</w:t>
      </w:r>
      <w:r>
        <w:t>- States need assistance with account reconciliation between the child support bank account, financials on the child support computer system and the state financial program. Often state stakeholders a</w:t>
      </w:r>
      <w:r w:rsidR="00EB109E">
        <w:t>r</w:t>
      </w:r>
      <w:r>
        <w:t>e not clear as to why payments are posted in certain way, why they are held, the timi</w:t>
      </w:r>
      <w:r w:rsidR="00FA5564">
        <w:t>n</w:t>
      </w:r>
      <w:r>
        <w:t xml:space="preserve">g of distribution, </w:t>
      </w:r>
      <w:r w:rsidR="00FA5564">
        <w:t xml:space="preserve">IRS reversals, </w:t>
      </w:r>
      <w:proofErr w:type="spellStart"/>
      <w:r>
        <w:t>mis</w:t>
      </w:r>
      <w:proofErr w:type="spellEnd"/>
      <w:r w:rsidR="00FA5564">
        <w:t>-</w:t>
      </w:r>
      <w:r>
        <w:t xml:space="preserve">postings, </w:t>
      </w:r>
      <w:r w:rsidR="00FA5564">
        <w:t xml:space="preserve">unidentified payments </w:t>
      </w:r>
      <w:r>
        <w:t>and a myriad o</w:t>
      </w:r>
      <w:r w:rsidR="00FA5564">
        <w:t>f</w:t>
      </w:r>
      <w:r>
        <w:t xml:space="preserve"> other issues that affect why the accounts do not reconcile. </w:t>
      </w:r>
    </w:p>
    <w:p w14:paraId="0895EF19" w14:textId="77777777" w:rsidR="00DA78D6" w:rsidRDefault="00DA78D6">
      <w:r w:rsidRPr="00DA78D6">
        <w:rPr>
          <w:b/>
        </w:rPr>
        <w:t>Financial Modules</w:t>
      </w:r>
      <w:r>
        <w:t xml:space="preserve"> from States computer system- Best Practices in programming, dashboards and automation.</w:t>
      </w:r>
      <w:r w:rsidR="00EB109E">
        <w:t xml:space="preserve">  </w:t>
      </w:r>
    </w:p>
    <w:p w14:paraId="7B0234C5" w14:textId="77777777" w:rsidR="00E30D34" w:rsidRDefault="007140E5">
      <w:r>
        <w:t xml:space="preserve"> </w:t>
      </w:r>
      <w:r w:rsidR="00260B03" w:rsidRPr="00260B03">
        <w:rPr>
          <w:b/>
        </w:rPr>
        <w:t>Federal reimbursement</w:t>
      </w:r>
      <w:r w:rsidR="00260B03">
        <w:t>—How does it work? When do you draw down</w:t>
      </w:r>
      <w:r w:rsidR="00BF1D0C">
        <w:t>?</w:t>
      </w:r>
      <w:r w:rsidR="00E30D34">
        <w:t xml:space="preserve"> What does not qualify? </w:t>
      </w:r>
    </w:p>
    <w:p w14:paraId="1EAF6D98" w14:textId="77777777" w:rsidR="00EB109E" w:rsidRDefault="00E30D34">
      <w:r>
        <w:t xml:space="preserve">Federal Lifelines (Points of Contact) for IV-D Directors and program Finance Managers </w:t>
      </w:r>
    </w:p>
    <w:sectPr w:rsidR="00EB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F0257"/>
    <w:multiLevelType w:val="hybridMultilevel"/>
    <w:tmpl w:val="D91E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E5"/>
    <w:rsid w:val="00115054"/>
    <w:rsid w:val="001718AD"/>
    <w:rsid w:val="00260B03"/>
    <w:rsid w:val="002F5448"/>
    <w:rsid w:val="003A42CB"/>
    <w:rsid w:val="005F3662"/>
    <w:rsid w:val="007140E5"/>
    <w:rsid w:val="007D62CA"/>
    <w:rsid w:val="00811F1F"/>
    <w:rsid w:val="00852E6F"/>
    <w:rsid w:val="00A12ECD"/>
    <w:rsid w:val="00A769A4"/>
    <w:rsid w:val="00B85E31"/>
    <w:rsid w:val="00BF1D0C"/>
    <w:rsid w:val="00DA78D6"/>
    <w:rsid w:val="00E30D34"/>
    <w:rsid w:val="00EB109E"/>
    <w:rsid w:val="00F36AA8"/>
    <w:rsid w:val="00FA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8FF3"/>
  <w15:chartTrackingRefBased/>
  <w15:docId w15:val="{CBCE62F0-E83C-4613-B1BF-C3333254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09E"/>
    <w:rPr>
      <w:sz w:val="16"/>
      <w:szCs w:val="16"/>
    </w:rPr>
  </w:style>
  <w:style w:type="paragraph" w:styleId="CommentText">
    <w:name w:val="annotation text"/>
    <w:basedOn w:val="Normal"/>
    <w:link w:val="CommentTextChar"/>
    <w:uiPriority w:val="99"/>
    <w:semiHidden/>
    <w:unhideWhenUsed/>
    <w:rsid w:val="00EB109E"/>
    <w:pPr>
      <w:spacing w:line="240" w:lineRule="auto"/>
    </w:pPr>
    <w:rPr>
      <w:sz w:val="20"/>
      <w:szCs w:val="20"/>
    </w:rPr>
  </w:style>
  <w:style w:type="character" w:customStyle="1" w:styleId="CommentTextChar">
    <w:name w:val="Comment Text Char"/>
    <w:basedOn w:val="DefaultParagraphFont"/>
    <w:link w:val="CommentText"/>
    <w:uiPriority w:val="99"/>
    <w:semiHidden/>
    <w:rsid w:val="00EB109E"/>
    <w:rPr>
      <w:sz w:val="20"/>
      <w:szCs w:val="20"/>
    </w:rPr>
  </w:style>
  <w:style w:type="paragraph" w:styleId="CommentSubject">
    <w:name w:val="annotation subject"/>
    <w:basedOn w:val="CommentText"/>
    <w:next w:val="CommentText"/>
    <w:link w:val="CommentSubjectChar"/>
    <w:uiPriority w:val="99"/>
    <w:semiHidden/>
    <w:unhideWhenUsed/>
    <w:rsid w:val="00EB109E"/>
    <w:rPr>
      <w:b/>
      <w:bCs/>
    </w:rPr>
  </w:style>
  <w:style w:type="character" w:customStyle="1" w:styleId="CommentSubjectChar">
    <w:name w:val="Comment Subject Char"/>
    <w:basedOn w:val="CommentTextChar"/>
    <w:link w:val="CommentSubject"/>
    <w:uiPriority w:val="99"/>
    <w:semiHidden/>
    <w:rsid w:val="00EB109E"/>
    <w:rPr>
      <w:b/>
      <w:bCs/>
      <w:sz w:val="20"/>
      <w:szCs w:val="20"/>
    </w:rPr>
  </w:style>
  <w:style w:type="paragraph" w:styleId="BalloonText">
    <w:name w:val="Balloon Text"/>
    <w:basedOn w:val="Normal"/>
    <w:link w:val="BalloonTextChar"/>
    <w:uiPriority w:val="99"/>
    <w:semiHidden/>
    <w:unhideWhenUsed/>
    <w:rsid w:val="00EB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09E"/>
    <w:rPr>
      <w:rFonts w:ascii="Segoe UI" w:hAnsi="Segoe UI" w:cs="Segoe UI"/>
      <w:sz w:val="18"/>
      <w:szCs w:val="18"/>
    </w:rPr>
  </w:style>
  <w:style w:type="character" w:styleId="Hyperlink">
    <w:name w:val="Hyperlink"/>
    <w:basedOn w:val="DefaultParagraphFont"/>
    <w:uiPriority w:val="99"/>
    <w:semiHidden/>
    <w:unhideWhenUsed/>
    <w:rsid w:val="00115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7290">
      <w:bodyDiv w:val="1"/>
      <w:marLeft w:val="0"/>
      <w:marRight w:val="0"/>
      <w:marTop w:val="0"/>
      <w:marBottom w:val="0"/>
      <w:divBdr>
        <w:top w:val="none" w:sz="0" w:space="0" w:color="auto"/>
        <w:left w:val="none" w:sz="0" w:space="0" w:color="auto"/>
        <w:bottom w:val="none" w:sz="0" w:space="0" w:color="auto"/>
        <w:right w:val="none" w:sz="0" w:space="0" w:color="auto"/>
      </w:divBdr>
    </w:div>
    <w:div w:id="14629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592F6.561B2F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2.fireeye.com/url?k=b22b4f47-ee7f563b-b22b7e78-0cc47adc5fa2-6874ee6714141555&amp;u=http://www.childsupportnd.com/" TargetMode="External"/><Relationship Id="rId5" Type="http://schemas.openxmlformats.org/officeDocument/2006/relationships/hyperlink" Target="mailto:jfleming@n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Santilli, Sharon (DHS)</dc:creator>
  <cp:keywords/>
  <dc:description/>
  <cp:lastModifiedBy>Drake, Sheila (ACF)</cp:lastModifiedBy>
  <cp:revision>4</cp:revision>
  <dcterms:created xsi:type="dcterms:W3CDTF">2019-11-04T15:56:00Z</dcterms:created>
  <dcterms:modified xsi:type="dcterms:W3CDTF">2019-11-04T17:25:00Z</dcterms:modified>
</cp:coreProperties>
</file>