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F71F6" w14:textId="77777777" w:rsidR="00664266" w:rsidRDefault="00B47614" w:rsidP="00825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E9E82A" wp14:editId="347C87D9">
            <wp:extent cx="2168796" cy="9677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CSD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517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3D36B" w14:textId="77777777" w:rsidR="00B47614" w:rsidRDefault="00B47614" w:rsidP="0082585B">
      <w:pPr>
        <w:tabs>
          <w:tab w:val="left" w:pos="9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6727CAD" w14:textId="77777777" w:rsidR="00B47614" w:rsidRDefault="00B47614" w:rsidP="00642D48">
      <w:pPr>
        <w:tabs>
          <w:tab w:val="left" w:pos="99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47614">
        <w:rPr>
          <w:rFonts w:ascii="Arial" w:hAnsi="Arial" w:cs="Arial"/>
          <w:b/>
          <w:sz w:val="24"/>
          <w:szCs w:val="24"/>
        </w:rPr>
        <w:t>TO:</w:t>
      </w:r>
      <w:r>
        <w:rPr>
          <w:rFonts w:ascii="Arial" w:hAnsi="Arial" w:cs="Arial"/>
          <w:sz w:val="24"/>
          <w:szCs w:val="24"/>
        </w:rPr>
        <w:tab/>
      </w:r>
      <w:r w:rsidR="0082585B">
        <w:rPr>
          <w:rFonts w:ascii="Arial" w:hAnsi="Arial" w:cs="Arial"/>
          <w:sz w:val="24"/>
          <w:szCs w:val="24"/>
        </w:rPr>
        <w:t>NCCSD Executive Committee</w:t>
      </w:r>
    </w:p>
    <w:p w14:paraId="1125B34B" w14:textId="77777777" w:rsidR="00B47614" w:rsidRDefault="00B47614" w:rsidP="00642D48">
      <w:pPr>
        <w:tabs>
          <w:tab w:val="left" w:pos="99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47614">
        <w:rPr>
          <w:rFonts w:ascii="Arial" w:hAnsi="Arial" w:cs="Arial"/>
          <w:b/>
          <w:sz w:val="24"/>
          <w:szCs w:val="24"/>
        </w:rPr>
        <w:t>FROM:</w:t>
      </w:r>
      <w:r>
        <w:rPr>
          <w:rFonts w:ascii="Arial" w:hAnsi="Arial" w:cs="Arial"/>
          <w:sz w:val="24"/>
          <w:szCs w:val="24"/>
        </w:rPr>
        <w:tab/>
      </w:r>
      <w:r w:rsidR="0082585B">
        <w:rPr>
          <w:rFonts w:ascii="Arial" w:hAnsi="Arial" w:cs="Arial"/>
          <w:sz w:val="24"/>
          <w:szCs w:val="24"/>
        </w:rPr>
        <w:t>Jim Fleming, NCCSD President</w:t>
      </w:r>
    </w:p>
    <w:p w14:paraId="6E5C11CB" w14:textId="5E0940E5" w:rsidR="00B47614" w:rsidRDefault="00B47614" w:rsidP="00642D48">
      <w:pPr>
        <w:tabs>
          <w:tab w:val="left" w:pos="99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47614">
        <w:rPr>
          <w:rFonts w:ascii="Arial" w:hAnsi="Arial" w:cs="Arial"/>
          <w:b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</w:r>
      <w:r w:rsidR="001E650A">
        <w:rPr>
          <w:rFonts w:ascii="Arial" w:hAnsi="Arial" w:cs="Arial"/>
          <w:sz w:val="24"/>
          <w:szCs w:val="24"/>
        </w:rPr>
        <w:t>June 17</w:t>
      </w:r>
      <w:r w:rsidR="00BA6B21">
        <w:rPr>
          <w:rFonts w:ascii="Arial" w:hAnsi="Arial" w:cs="Arial"/>
          <w:sz w:val="24"/>
          <w:szCs w:val="24"/>
        </w:rPr>
        <w:t>, 2020</w:t>
      </w:r>
    </w:p>
    <w:p w14:paraId="5D2398DF" w14:textId="77777777" w:rsidR="00B47614" w:rsidRDefault="00B47614" w:rsidP="00642D48">
      <w:pPr>
        <w:tabs>
          <w:tab w:val="left" w:pos="99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47614">
        <w:rPr>
          <w:rFonts w:ascii="Arial" w:hAnsi="Arial" w:cs="Arial"/>
          <w:b/>
          <w:sz w:val="24"/>
          <w:szCs w:val="24"/>
        </w:rPr>
        <w:t>RE:</w:t>
      </w:r>
      <w:r>
        <w:rPr>
          <w:rFonts w:ascii="Arial" w:hAnsi="Arial" w:cs="Arial"/>
          <w:sz w:val="24"/>
          <w:szCs w:val="24"/>
        </w:rPr>
        <w:tab/>
      </w:r>
      <w:r w:rsidR="0082585B">
        <w:rPr>
          <w:rFonts w:ascii="Arial" w:hAnsi="Arial" w:cs="Arial"/>
          <w:sz w:val="24"/>
          <w:szCs w:val="24"/>
        </w:rPr>
        <w:t>Monthly President’s Report</w:t>
      </w:r>
    </w:p>
    <w:p w14:paraId="39AC943B" w14:textId="77777777" w:rsidR="00B47614" w:rsidRDefault="00B47614" w:rsidP="00B476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7469F9" wp14:editId="15123CA4">
                <wp:simplePos x="0" y="0"/>
                <wp:positionH relativeFrom="column">
                  <wp:posOffset>-38100</wp:posOffset>
                </wp:positionH>
                <wp:positionV relativeFrom="paragraph">
                  <wp:posOffset>18414</wp:posOffset>
                </wp:positionV>
                <wp:extent cx="6012180" cy="0"/>
                <wp:effectExtent l="38100" t="76200" r="64770" b="57150"/>
                <wp:wrapNone/>
                <wp:docPr id="2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5E7"/>
                          </a:solidFill>
                          <a:prstDash val="solid"/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2AF69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pt,1.45pt" to="470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" strokecolor="#1f45e7" strokeweight="1.5pt">
                <v:shadow on="t" color="#090" opacity="53739f" origin=".5" offset=".1225mm,-.69483mm"/>
                <o:lock v:ext="edit" shapetype="f"/>
              </v:line>
            </w:pict>
          </mc:Fallback>
        </mc:AlternateContent>
      </w:r>
    </w:p>
    <w:p w14:paraId="68F14731" w14:textId="4DAE65ED" w:rsidR="001E650A" w:rsidRDefault="001E650A" w:rsidP="00F471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last month has continued a trend where communication among directors has remained</w:t>
      </w:r>
      <w:r w:rsidR="003A68B7">
        <w:rPr>
          <w:rFonts w:ascii="Arial" w:hAnsi="Arial" w:cs="Arial"/>
          <w:sz w:val="24"/>
          <w:szCs w:val="24"/>
        </w:rPr>
        <w:t xml:space="preserve"> very</w:t>
      </w:r>
      <w:r>
        <w:rPr>
          <w:rFonts w:ascii="Arial" w:hAnsi="Arial" w:cs="Arial"/>
          <w:sz w:val="24"/>
          <w:szCs w:val="24"/>
        </w:rPr>
        <w:t xml:space="preserve"> active, which not only shares ideas and best practices but also support and encouragement as we face common challenges and sources of stress.</w:t>
      </w:r>
      <w:r w:rsidR="00A85A7D">
        <w:rPr>
          <w:rFonts w:ascii="Arial" w:hAnsi="Arial" w:cs="Arial"/>
          <w:sz w:val="24"/>
          <w:szCs w:val="24"/>
        </w:rPr>
        <w:t xml:space="preserve">  I continue to receive thanks from ERICSA and WICSEC for the survey responses that are periodically shared with their presidents when updates occur.</w:t>
      </w:r>
    </w:p>
    <w:p w14:paraId="6BC19B5C" w14:textId="3EA543F6" w:rsidR="001E650A" w:rsidRDefault="001E650A" w:rsidP="00F471EC">
      <w:pPr>
        <w:spacing w:after="0"/>
        <w:rPr>
          <w:rFonts w:ascii="Arial" w:hAnsi="Arial" w:cs="Arial"/>
          <w:sz w:val="24"/>
          <w:szCs w:val="24"/>
        </w:rPr>
      </w:pPr>
    </w:p>
    <w:p w14:paraId="652D03F0" w14:textId="58ACFB7D" w:rsidR="003A68B7" w:rsidRDefault="003A68B7" w:rsidP="00F471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ACF Meeting</w:t>
      </w:r>
    </w:p>
    <w:p w14:paraId="7F38D687" w14:textId="428AFD5E" w:rsidR="003A68B7" w:rsidRDefault="003A68B7" w:rsidP="00F471EC">
      <w:pPr>
        <w:spacing w:after="0"/>
        <w:rPr>
          <w:rFonts w:ascii="Arial" w:hAnsi="Arial" w:cs="Arial"/>
          <w:sz w:val="24"/>
          <w:szCs w:val="24"/>
        </w:rPr>
      </w:pPr>
    </w:p>
    <w:p w14:paraId="6926D098" w14:textId="4AB11178" w:rsidR="003A68B7" w:rsidRPr="003A68B7" w:rsidRDefault="003A68B7" w:rsidP="00F471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forwarded e-mail to all directors on follow-up to the meeting, including the list for a written description of remaining issues or concerns.  This item is included in the agenda for discussion by the Executive Committee on June 18</w:t>
      </w:r>
      <w:r w:rsidR="00AC3A59">
        <w:rPr>
          <w:rFonts w:ascii="Arial" w:hAnsi="Arial" w:cs="Arial"/>
          <w:sz w:val="24"/>
          <w:szCs w:val="24"/>
        </w:rPr>
        <w:t xml:space="preserve"> to determine how to respond.</w:t>
      </w:r>
    </w:p>
    <w:p w14:paraId="71A56559" w14:textId="77777777" w:rsidR="001E650A" w:rsidRDefault="001E650A" w:rsidP="00F471EC">
      <w:pPr>
        <w:spacing w:after="0"/>
        <w:rPr>
          <w:rFonts w:ascii="Arial" w:hAnsi="Arial" w:cs="Arial"/>
          <w:sz w:val="24"/>
          <w:szCs w:val="24"/>
        </w:rPr>
      </w:pPr>
    </w:p>
    <w:p w14:paraId="45475195" w14:textId="3E5FB84D" w:rsidR="00F471EC" w:rsidRPr="00642D48" w:rsidRDefault="00F471EC" w:rsidP="00F471EC">
      <w:pPr>
        <w:spacing w:after="0"/>
        <w:rPr>
          <w:rFonts w:ascii="Arial" w:hAnsi="Arial" w:cs="Arial"/>
          <w:sz w:val="24"/>
          <w:szCs w:val="24"/>
        </w:rPr>
      </w:pPr>
      <w:r w:rsidRPr="00642D48">
        <w:rPr>
          <w:rFonts w:ascii="Arial" w:hAnsi="Arial" w:cs="Arial"/>
          <w:sz w:val="24"/>
          <w:szCs w:val="24"/>
          <w:u w:val="single"/>
        </w:rPr>
        <w:t>OCSE</w:t>
      </w:r>
    </w:p>
    <w:p w14:paraId="6D9C9A57" w14:textId="11779099" w:rsidR="001E6318" w:rsidRDefault="001E6318" w:rsidP="00F471EC">
      <w:pPr>
        <w:spacing w:after="0"/>
        <w:rPr>
          <w:rFonts w:ascii="Arial" w:hAnsi="Arial" w:cs="Arial"/>
          <w:sz w:val="24"/>
          <w:szCs w:val="24"/>
        </w:rPr>
      </w:pPr>
    </w:p>
    <w:p w14:paraId="094EF1A8" w14:textId="52A50EB8" w:rsidR="00A85A7D" w:rsidRDefault="001E650A" w:rsidP="001E65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monthly meeting was not held </w:t>
      </w:r>
      <w:proofErr w:type="gramStart"/>
      <w:r w:rsidR="003A68B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 light of</w:t>
      </w:r>
      <w:proofErr w:type="gramEnd"/>
      <w:r>
        <w:rPr>
          <w:rFonts w:ascii="Arial" w:hAnsi="Arial" w:cs="Arial"/>
          <w:sz w:val="24"/>
          <w:szCs w:val="24"/>
        </w:rPr>
        <w:t xml:space="preserve"> the Executive Committee action to refrain from organized interaction with OCSE until a meeting could be scheduled with ACF.  </w:t>
      </w:r>
      <w:proofErr w:type="gramStart"/>
      <w:r>
        <w:rPr>
          <w:rFonts w:ascii="Arial" w:hAnsi="Arial" w:cs="Arial"/>
          <w:sz w:val="24"/>
          <w:szCs w:val="24"/>
        </w:rPr>
        <w:t>A number of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85A7D">
        <w:rPr>
          <w:rFonts w:ascii="Arial" w:hAnsi="Arial" w:cs="Arial"/>
          <w:sz w:val="24"/>
          <w:szCs w:val="24"/>
        </w:rPr>
        <w:t>policy changes have been issued</w:t>
      </w:r>
      <w:r w:rsidR="003A68B7">
        <w:rPr>
          <w:rFonts w:ascii="Arial" w:hAnsi="Arial" w:cs="Arial"/>
          <w:sz w:val="24"/>
          <w:szCs w:val="24"/>
        </w:rPr>
        <w:t xml:space="preserve"> in the last month</w:t>
      </w:r>
      <w:r w:rsidR="00A85A7D">
        <w:rPr>
          <w:rFonts w:ascii="Arial" w:hAnsi="Arial" w:cs="Arial"/>
          <w:sz w:val="24"/>
          <w:szCs w:val="24"/>
        </w:rPr>
        <w:t>, including:</w:t>
      </w:r>
    </w:p>
    <w:p w14:paraId="4E27011E" w14:textId="71118F0F" w:rsidR="00712FC9" w:rsidRDefault="00712FC9" w:rsidP="000F6DB5">
      <w:pPr>
        <w:pStyle w:val="ListParagraph"/>
        <w:numPr>
          <w:ilvl w:val="0"/>
          <w:numId w:val="3"/>
        </w:num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Additional COVID-19 </w:t>
      </w:r>
      <w:hyperlink r:id="rId6" w:history="1">
        <w:r w:rsidRPr="00712FC9">
          <w:rPr>
            <w:rStyle w:val="Hyperlink"/>
            <w:rFonts w:ascii="Arial" w:hAnsi="Arial" w:cs="Arial"/>
            <w:sz w:val="24"/>
            <w:szCs w:val="24"/>
          </w:rPr>
          <w:t>FAQs</w:t>
        </w:r>
      </w:hyperlink>
    </w:p>
    <w:p w14:paraId="034D7FE8" w14:textId="3BC34B28" w:rsidR="00A85A7D" w:rsidRDefault="00712FC9" w:rsidP="00A85A7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hyperlink r:id="rId7" w:history="1">
        <w:r w:rsidR="00A85A7D" w:rsidRPr="00712FC9">
          <w:rPr>
            <w:rStyle w:val="Hyperlink"/>
            <w:rFonts w:ascii="Arial" w:hAnsi="Arial" w:cs="Arial"/>
            <w:sz w:val="24"/>
            <w:szCs w:val="24"/>
          </w:rPr>
          <w:t>AT-20-07</w:t>
        </w:r>
      </w:hyperlink>
      <w:r w:rsidR="00A85A7D">
        <w:rPr>
          <w:rFonts w:ascii="Arial" w:hAnsi="Arial" w:cs="Arial"/>
          <w:sz w:val="24"/>
          <w:szCs w:val="24"/>
        </w:rPr>
        <w:t xml:space="preserve"> Final technical corrections rule (concurrent benefits)</w:t>
      </w:r>
    </w:p>
    <w:p w14:paraId="75AEA185" w14:textId="1960BD1E" w:rsidR="001E650A" w:rsidRDefault="00712FC9" w:rsidP="00A85A7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hyperlink r:id="rId8" w:history="1">
        <w:r w:rsidRPr="00712FC9">
          <w:rPr>
            <w:rStyle w:val="Hyperlink"/>
            <w:rFonts w:ascii="Arial" w:hAnsi="Arial" w:cs="Arial"/>
            <w:sz w:val="24"/>
            <w:szCs w:val="24"/>
          </w:rPr>
          <w:t>DCL-20-04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A85A7D">
        <w:rPr>
          <w:rFonts w:ascii="Arial" w:hAnsi="Arial" w:cs="Arial"/>
          <w:sz w:val="24"/>
          <w:szCs w:val="24"/>
        </w:rPr>
        <w:t>Stafford Act waiver guidance</w:t>
      </w:r>
      <w:r w:rsidR="001E650A" w:rsidRPr="00A85A7D">
        <w:rPr>
          <w:rFonts w:ascii="Arial" w:hAnsi="Arial" w:cs="Arial"/>
          <w:sz w:val="24"/>
          <w:szCs w:val="24"/>
        </w:rPr>
        <w:t xml:space="preserve"> </w:t>
      </w:r>
    </w:p>
    <w:p w14:paraId="2F43EA23" w14:textId="4535CA5D" w:rsidR="00712FC9" w:rsidRPr="00A85A7D" w:rsidRDefault="00712FC9" w:rsidP="00A85A7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hyperlink r:id="rId9" w:history="1">
        <w:r w:rsidRPr="00712FC9">
          <w:rPr>
            <w:rStyle w:val="Hyperlink"/>
            <w:rFonts w:ascii="Arial" w:hAnsi="Arial" w:cs="Arial"/>
            <w:sz w:val="24"/>
            <w:szCs w:val="24"/>
          </w:rPr>
          <w:t>AT-20-06</w:t>
        </w:r>
      </w:hyperlink>
      <w:r>
        <w:rPr>
          <w:rFonts w:ascii="Arial" w:hAnsi="Arial" w:cs="Arial"/>
          <w:sz w:val="24"/>
          <w:szCs w:val="24"/>
        </w:rPr>
        <w:t xml:space="preserve"> Delay in implementation of OCSE 157 changes</w:t>
      </w:r>
    </w:p>
    <w:p w14:paraId="5C11A3E2" w14:textId="4D2685BE" w:rsidR="00F471EC" w:rsidRDefault="00C46791" w:rsidP="000F6DB5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Most recently, we have been advised that a DCL </w:t>
      </w:r>
      <w:r w:rsidR="00AC3A59">
        <w:rPr>
          <w:rFonts w:ascii="Arial" w:hAnsi="Arial" w:cs="Arial"/>
          <w:sz w:val="24"/>
          <w:szCs w:val="24"/>
        </w:rPr>
        <w:t xml:space="preserve">is being finalized which will confirm </w:t>
      </w:r>
      <w:r>
        <w:rPr>
          <w:rFonts w:ascii="Arial" w:hAnsi="Arial" w:cs="Arial"/>
          <w:sz w:val="24"/>
          <w:szCs w:val="24"/>
        </w:rPr>
        <w:t>OCSE’s decision not to impose PEP penalties for 2020 and 2021</w:t>
      </w:r>
      <w:r w:rsidR="00AC3A59">
        <w:rPr>
          <w:rFonts w:ascii="Arial" w:hAnsi="Arial" w:cs="Arial"/>
          <w:sz w:val="24"/>
          <w:szCs w:val="24"/>
        </w:rPr>
        <w:t xml:space="preserve">.  NCCSD was also advised that </w:t>
      </w:r>
      <w:r>
        <w:rPr>
          <w:rFonts w:ascii="Arial" w:hAnsi="Arial" w:cs="Arial"/>
          <w:sz w:val="24"/>
          <w:szCs w:val="24"/>
        </w:rPr>
        <w:t>OCSE will be recommending to the Senate regarding HR 6800 (Heroes Act) that 2020 and 2021 incentives be disbursed based on 2019 incentive percentages and 2019 audited data.</w:t>
      </w:r>
    </w:p>
    <w:p w14:paraId="73BC0B67" w14:textId="1E22F888" w:rsidR="000F6DB5" w:rsidRDefault="000F6DB5" w:rsidP="000F6DB5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continuity spreadsheet was changed to add a column so states can report waiver request beyond those </w:t>
      </w:r>
      <w:r w:rsidR="003A68B7">
        <w:rPr>
          <w:rFonts w:ascii="Arial" w:hAnsi="Arial" w:cs="Arial"/>
          <w:sz w:val="24"/>
          <w:szCs w:val="24"/>
        </w:rPr>
        <w:t>listed in DCL-20-04.</w:t>
      </w:r>
    </w:p>
    <w:p w14:paraId="5654C123" w14:textId="0C823FAC" w:rsidR="001E7159" w:rsidRDefault="001E7159" w:rsidP="00F471EC">
      <w:pPr>
        <w:spacing w:after="0"/>
        <w:rPr>
          <w:rFonts w:ascii="Arial" w:hAnsi="Arial" w:cs="Arial"/>
          <w:sz w:val="24"/>
          <w:szCs w:val="24"/>
        </w:rPr>
      </w:pPr>
    </w:p>
    <w:p w14:paraId="6432D0D6" w14:textId="0694EF41" w:rsidR="001E7159" w:rsidRDefault="001E7159" w:rsidP="00F471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Annual NCCSD Meeting</w:t>
      </w:r>
    </w:p>
    <w:p w14:paraId="1AAB36FB" w14:textId="3568EEA9" w:rsidR="001E7159" w:rsidRDefault="001E7159" w:rsidP="00F471EC">
      <w:pPr>
        <w:spacing w:after="0"/>
        <w:rPr>
          <w:rFonts w:ascii="Arial" w:hAnsi="Arial" w:cs="Arial"/>
          <w:sz w:val="24"/>
          <w:szCs w:val="24"/>
        </w:rPr>
      </w:pPr>
    </w:p>
    <w:p w14:paraId="79F4F9DB" w14:textId="05F8183E" w:rsidR="003D411E" w:rsidRDefault="001E650A" w:rsidP="00F471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annual meeting has been divided into a business meeting and a virtual webinar.  The business meeting has been scheduled in two parts for July</w:t>
      </w:r>
      <w:r w:rsidR="00C46791">
        <w:rPr>
          <w:rFonts w:ascii="Arial" w:hAnsi="Arial" w:cs="Arial"/>
          <w:sz w:val="24"/>
          <w:szCs w:val="24"/>
        </w:rPr>
        <w:t xml:space="preserve"> 28 and 29 (if needed).  The seminar portion of our annual meeting will be replaced with webinars developed by a planning committee chaired by </w:t>
      </w:r>
      <w:proofErr w:type="spellStart"/>
      <w:r w:rsidR="00C46791">
        <w:rPr>
          <w:rFonts w:ascii="Arial" w:hAnsi="Arial" w:cs="Arial"/>
          <w:sz w:val="24"/>
          <w:szCs w:val="24"/>
        </w:rPr>
        <w:t>Lyndsy</w:t>
      </w:r>
      <w:proofErr w:type="spellEnd"/>
      <w:r w:rsidR="00C46791">
        <w:rPr>
          <w:rFonts w:ascii="Arial" w:hAnsi="Arial" w:cs="Arial"/>
          <w:sz w:val="24"/>
          <w:szCs w:val="24"/>
        </w:rPr>
        <w:t xml:space="preserve"> Landry Irwin (MS) and Adam Norman (IN).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9C6A85D" w14:textId="7535C735" w:rsidR="00AC3A59" w:rsidRDefault="00AC3A59" w:rsidP="00F471EC">
      <w:pPr>
        <w:spacing w:after="0"/>
        <w:rPr>
          <w:rFonts w:ascii="Arial" w:hAnsi="Arial" w:cs="Arial"/>
          <w:sz w:val="24"/>
          <w:szCs w:val="24"/>
        </w:rPr>
      </w:pPr>
    </w:p>
    <w:p w14:paraId="2B282AC6" w14:textId="13E30F9D" w:rsidR="00AC3A59" w:rsidRDefault="00AC3A59" w:rsidP="00F471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Cost Avoidance Studies</w:t>
      </w:r>
    </w:p>
    <w:p w14:paraId="08DAB7B4" w14:textId="49C63AAC" w:rsidR="00AC3A59" w:rsidRDefault="00AC3A59" w:rsidP="00F471EC">
      <w:pPr>
        <w:spacing w:after="0"/>
        <w:rPr>
          <w:rFonts w:ascii="Arial" w:hAnsi="Arial" w:cs="Arial"/>
          <w:sz w:val="24"/>
          <w:szCs w:val="24"/>
        </w:rPr>
      </w:pPr>
    </w:p>
    <w:p w14:paraId="54C5C0DC" w14:textId="581E55FD" w:rsidR="00AC3A59" w:rsidRDefault="00AC3A59" w:rsidP="00F471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 a “Time for You” call, it was mentioned that it would be nice to have more up-to-date information about cost avoidance in Child Support. Jerry Joy in Vermont provided the following description for cost avoidance estimates he received from Laura Wheaton at Urban Institute:</w:t>
      </w:r>
    </w:p>
    <w:p w14:paraId="524C65FB" w14:textId="57F13822" w:rsidR="00AC3A59" w:rsidRDefault="00AC3A59" w:rsidP="00F471EC">
      <w:pPr>
        <w:spacing w:after="0"/>
        <w:rPr>
          <w:rFonts w:ascii="Arial" w:hAnsi="Arial" w:cs="Arial"/>
          <w:sz w:val="24"/>
          <w:szCs w:val="24"/>
        </w:rPr>
      </w:pPr>
    </w:p>
    <w:p w14:paraId="5C03440C" w14:textId="0E7B3BC5" w:rsidR="00AC3A59" w:rsidRPr="00AC3A59" w:rsidRDefault="00AC3A59" w:rsidP="00F471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EF7AA6" wp14:editId="5B2788DA">
            <wp:extent cx="4197350" cy="456675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618" cy="4600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30C81A" w14:textId="71618728" w:rsidR="00983825" w:rsidRDefault="00AC3A59" w:rsidP="00CA04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would be good to discuss whether to commit roughly $30,000 to obtain a national and state level update to these figures.</w:t>
      </w:r>
    </w:p>
    <w:p w14:paraId="39F1CBB8" w14:textId="77777777" w:rsidR="00AC3A59" w:rsidRDefault="00AC3A59" w:rsidP="00CA044F">
      <w:pPr>
        <w:spacing w:after="0"/>
        <w:rPr>
          <w:rFonts w:ascii="Arial" w:hAnsi="Arial" w:cs="Arial"/>
          <w:sz w:val="24"/>
          <w:szCs w:val="24"/>
        </w:rPr>
      </w:pPr>
    </w:p>
    <w:p w14:paraId="766BEE19" w14:textId="565C9CA2" w:rsidR="00BC351D" w:rsidRDefault="00BC351D" w:rsidP="00CA04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50FA9081" w14:textId="37868393" w:rsidR="00BC351D" w:rsidRDefault="00BC351D" w:rsidP="00CA044F">
      <w:pPr>
        <w:spacing w:after="0"/>
        <w:rPr>
          <w:rFonts w:ascii="Arial" w:hAnsi="Arial" w:cs="Arial"/>
          <w:sz w:val="24"/>
          <w:szCs w:val="24"/>
        </w:rPr>
      </w:pPr>
    </w:p>
    <w:p w14:paraId="3E7268A8" w14:textId="5C050A88" w:rsidR="00BC351D" w:rsidRDefault="00BC351D" w:rsidP="00CA04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Jim Fleming</w:t>
      </w:r>
    </w:p>
    <w:p w14:paraId="66ECC085" w14:textId="5139629D" w:rsidR="00642D48" w:rsidRDefault="00BC351D" w:rsidP="00642D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NCCSD President 2019-2020</w:t>
      </w:r>
    </w:p>
    <w:sectPr w:rsidR="00642D48" w:rsidSect="00B4761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30269"/>
    <w:multiLevelType w:val="hybridMultilevel"/>
    <w:tmpl w:val="380A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87BA8"/>
    <w:multiLevelType w:val="hybridMultilevel"/>
    <w:tmpl w:val="549A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0165D"/>
    <w:multiLevelType w:val="hybridMultilevel"/>
    <w:tmpl w:val="571EA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85B"/>
    <w:rsid w:val="00001A44"/>
    <w:rsid w:val="000454BC"/>
    <w:rsid w:val="00064858"/>
    <w:rsid w:val="000F6DB5"/>
    <w:rsid w:val="00162458"/>
    <w:rsid w:val="001B0529"/>
    <w:rsid w:val="001D0419"/>
    <w:rsid w:val="001E6318"/>
    <w:rsid w:val="001E650A"/>
    <w:rsid w:val="001E7159"/>
    <w:rsid w:val="00237840"/>
    <w:rsid w:val="00286F22"/>
    <w:rsid w:val="0033102A"/>
    <w:rsid w:val="0033322E"/>
    <w:rsid w:val="003907A4"/>
    <w:rsid w:val="003919CE"/>
    <w:rsid w:val="003A68B7"/>
    <w:rsid w:val="003D411E"/>
    <w:rsid w:val="00433E2F"/>
    <w:rsid w:val="004A43D5"/>
    <w:rsid w:val="00505102"/>
    <w:rsid w:val="00622091"/>
    <w:rsid w:val="00642D48"/>
    <w:rsid w:val="00651026"/>
    <w:rsid w:val="00664266"/>
    <w:rsid w:val="006C73D0"/>
    <w:rsid w:val="006D06F8"/>
    <w:rsid w:val="00712FC9"/>
    <w:rsid w:val="00720DD0"/>
    <w:rsid w:val="00747486"/>
    <w:rsid w:val="007703E6"/>
    <w:rsid w:val="007B391F"/>
    <w:rsid w:val="007C4DD9"/>
    <w:rsid w:val="00820695"/>
    <w:rsid w:val="0082585B"/>
    <w:rsid w:val="00914B63"/>
    <w:rsid w:val="00983825"/>
    <w:rsid w:val="009F1B8C"/>
    <w:rsid w:val="00A56EB4"/>
    <w:rsid w:val="00A85A7D"/>
    <w:rsid w:val="00AB173E"/>
    <w:rsid w:val="00AC399B"/>
    <w:rsid w:val="00AC3A59"/>
    <w:rsid w:val="00B333FF"/>
    <w:rsid w:val="00B47614"/>
    <w:rsid w:val="00B7464F"/>
    <w:rsid w:val="00BA6B21"/>
    <w:rsid w:val="00BA6F27"/>
    <w:rsid w:val="00BC351D"/>
    <w:rsid w:val="00BE096E"/>
    <w:rsid w:val="00BE2293"/>
    <w:rsid w:val="00C26D84"/>
    <w:rsid w:val="00C33D59"/>
    <w:rsid w:val="00C46791"/>
    <w:rsid w:val="00CA044F"/>
    <w:rsid w:val="00D91361"/>
    <w:rsid w:val="00E92887"/>
    <w:rsid w:val="00EA5F4D"/>
    <w:rsid w:val="00EF6206"/>
    <w:rsid w:val="00EF7A73"/>
    <w:rsid w:val="00F471EC"/>
    <w:rsid w:val="00F73756"/>
    <w:rsid w:val="00F7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F6ECC5"/>
  <w15:docId w15:val="{49874636-6C5E-4A23-8E61-4DEE31C0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6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58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8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585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F1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366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1609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f.hhs.gov/css/resource/flexibilities-for-state-and-tribal-child-support-agencies-during-covid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f.hhs.gov/css/resource/final-rule-child-support-technical-correc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f.hhs.gov/css/resource/delayed-implementation-of-revised-ocse-157-data-report-2021-10-0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acf.hhs.gov/css/resource/delayed-implementation-of-revised-ocse-157-data-report-2021-10-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leming\AppData\Roaming\Microsoft\Templates\NCCSD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NCCSD Memo.dotx</Template>
  <TotalTime>72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James C.</dc:creator>
  <cp:lastModifiedBy>Fleming, James C.</cp:lastModifiedBy>
  <cp:revision>3</cp:revision>
  <dcterms:created xsi:type="dcterms:W3CDTF">2020-06-17T21:31:00Z</dcterms:created>
  <dcterms:modified xsi:type="dcterms:W3CDTF">2020-06-17T22:43:00Z</dcterms:modified>
</cp:coreProperties>
</file>