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7C9F9" w14:textId="7A7A1263" w:rsidR="00891267" w:rsidRDefault="00891267" w:rsidP="00891267">
      <w:pPr>
        <w:jc w:val="center"/>
        <w:rPr>
          <w:b/>
        </w:rPr>
      </w:pPr>
      <w:r>
        <w:rPr>
          <w:b/>
        </w:rPr>
        <w:t>REQUEST FOR MODIFICATION OF PROGRAM TIMEFRAMES</w:t>
      </w:r>
    </w:p>
    <w:p w14:paraId="3820524E" w14:textId="3BD4487D" w:rsidR="002E5C37" w:rsidRDefault="002E5C37" w:rsidP="00891267">
      <w:pPr>
        <w:jc w:val="center"/>
        <w:rPr>
          <w:b/>
        </w:rPr>
      </w:pPr>
      <w:r>
        <w:rPr>
          <w:b/>
        </w:rPr>
        <w:t>COMMONWEALTH OF MASSACHUSETTS</w:t>
      </w:r>
    </w:p>
    <w:p w14:paraId="59EDB169" w14:textId="64ECDA94" w:rsidR="002E5C37" w:rsidRDefault="002E5C37" w:rsidP="00891267">
      <w:pPr>
        <w:jc w:val="center"/>
        <w:rPr>
          <w:b/>
        </w:rPr>
      </w:pPr>
      <w:r>
        <w:rPr>
          <w:b/>
        </w:rPr>
        <w:t>DEPARTMENT OF REVENUE</w:t>
      </w:r>
    </w:p>
    <w:p w14:paraId="6D8A4DD5" w14:textId="128780FC" w:rsidR="002E5C37" w:rsidRDefault="002E5C37" w:rsidP="00891267">
      <w:pPr>
        <w:jc w:val="center"/>
        <w:rPr>
          <w:b/>
        </w:rPr>
      </w:pPr>
      <w:r>
        <w:rPr>
          <w:b/>
        </w:rPr>
        <w:t>CHILD SUPPORT ENFORCEMENT DIVISION</w:t>
      </w:r>
    </w:p>
    <w:p w14:paraId="7068902E" w14:textId="767029F9" w:rsidR="001674F5" w:rsidRDefault="001674F5" w:rsidP="00891267">
      <w:pPr>
        <w:jc w:val="center"/>
        <w:rPr>
          <w:b/>
        </w:rPr>
      </w:pPr>
    </w:p>
    <w:p w14:paraId="480719A3" w14:textId="536F5682" w:rsidR="001674F5" w:rsidRDefault="001674F5" w:rsidP="00891267">
      <w:pPr>
        <w:jc w:val="center"/>
        <w:rPr>
          <w:b/>
        </w:rPr>
      </w:pPr>
    </w:p>
    <w:p w14:paraId="7156A053" w14:textId="4AB6A2F3" w:rsidR="001674F5" w:rsidRDefault="001674F5" w:rsidP="001674F5">
      <w:pPr>
        <w:rPr>
          <w:b/>
        </w:rPr>
      </w:pPr>
      <w:r>
        <w:rPr>
          <w:b/>
        </w:rPr>
        <w:t>Introduction</w:t>
      </w:r>
    </w:p>
    <w:p w14:paraId="5B962F80" w14:textId="2BA91891" w:rsidR="001674F5" w:rsidRDefault="001674F5" w:rsidP="001674F5">
      <w:pPr>
        <w:rPr>
          <w:b/>
        </w:rPr>
      </w:pPr>
    </w:p>
    <w:p w14:paraId="11204F11" w14:textId="412AC212" w:rsidR="001674F5" w:rsidRDefault="00137391" w:rsidP="001674F5">
      <w:pPr>
        <w:rPr>
          <w:bCs/>
        </w:rPr>
      </w:pPr>
      <w:r>
        <w:rPr>
          <w:bCs/>
        </w:rPr>
        <w:t xml:space="preserve">The Commonwealth of Massachusetts, like other states, has been significantly impacted by the COV-19 crisis.  </w:t>
      </w:r>
      <w:bookmarkStart w:id="0" w:name="_Hlk45204704"/>
      <w:r>
        <w:rPr>
          <w:bCs/>
        </w:rPr>
        <w:t xml:space="preserve">The Commonwealth has taken and continues to take significant and unprecedented steps to ensure the safety and well-being of its residents.  The </w:t>
      </w:r>
      <w:r w:rsidR="0077645A">
        <w:rPr>
          <w:bCs/>
        </w:rPr>
        <w:t xml:space="preserve">Department of Revenue’s (DOR) </w:t>
      </w:r>
      <w:r>
        <w:rPr>
          <w:bCs/>
        </w:rPr>
        <w:t>Child Support Enforcement program has been greatly affected by these steps.  As a result, the Commonwealth respectfully submits this request for m</w:t>
      </w:r>
      <w:r w:rsidR="003D36E1">
        <w:rPr>
          <w:bCs/>
        </w:rPr>
        <w:t>o</w:t>
      </w:r>
      <w:r>
        <w:rPr>
          <w:bCs/>
        </w:rPr>
        <w:t>di</w:t>
      </w:r>
      <w:r w:rsidR="003D36E1">
        <w:rPr>
          <w:bCs/>
        </w:rPr>
        <w:t>fi</w:t>
      </w:r>
      <w:r>
        <w:rPr>
          <w:bCs/>
        </w:rPr>
        <w:t xml:space="preserve">cation of program timeframes. </w:t>
      </w:r>
    </w:p>
    <w:bookmarkEnd w:id="0"/>
    <w:p w14:paraId="6B58C226" w14:textId="471D1B99" w:rsidR="00137391" w:rsidRDefault="00137391" w:rsidP="001674F5">
      <w:pPr>
        <w:rPr>
          <w:bCs/>
        </w:rPr>
      </w:pPr>
    </w:p>
    <w:p w14:paraId="63D3F601" w14:textId="59FB9648" w:rsidR="003D36E1" w:rsidRDefault="00137391" w:rsidP="001674F5">
      <w:pPr>
        <w:rPr>
          <w:bCs/>
        </w:rPr>
      </w:pPr>
      <w:r>
        <w:rPr>
          <w:bCs/>
        </w:rPr>
        <w:t xml:space="preserve">The </w:t>
      </w:r>
      <w:r w:rsidR="005B04D1">
        <w:rPr>
          <w:bCs/>
        </w:rPr>
        <w:t xml:space="preserve">Commonwealth of Massachusetts is a judicial state so the </w:t>
      </w:r>
      <w:r>
        <w:rPr>
          <w:bCs/>
        </w:rPr>
        <w:t xml:space="preserve">most critical impact to the Child Support Enforcement program is </w:t>
      </w:r>
      <w:r w:rsidR="00380546">
        <w:rPr>
          <w:bCs/>
        </w:rPr>
        <w:t xml:space="preserve">the establishment and modification of child support orders as </w:t>
      </w:r>
      <w:r>
        <w:rPr>
          <w:bCs/>
        </w:rPr>
        <w:t xml:space="preserve">a result of the closures of the Probate and Family Court to all but emergency matters and the slow </w:t>
      </w:r>
      <w:r w:rsidR="0077645A">
        <w:rPr>
          <w:bCs/>
        </w:rPr>
        <w:t xml:space="preserve">ramp-up of virtual hearings.  </w:t>
      </w:r>
      <w:r w:rsidR="003D36E1">
        <w:rPr>
          <w:bCs/>
        </w:rPr>
        <w:t>DOR and the Court did not have a virtual hearing process in place in March 2020</w:t>
      </w:r>
      <w:r w:rsidR="004E25F8">
        <w:rPr>
          <w:bCs/>
        </w:rPr>
        <w:t xml:space="preserve">.  DOR and the Court </w:t>
      </w:r>
      <w:r w:rsidR="003D36E1">
        <w:rPr>
          <w:bCs/>
        </w:rPr>
        <w:t xml:space="preserve">have developed a new process and are implementing that new process.  However, up until the middle of June, no DOR cases were </w:t>
      </w:r>
      <w:r w:rsidR="00380546">
        <w:rPr>
          <w:bCs/>
        </w:rPr>
        <w:t>able to be heard</w:t>
      </w:r>
      <w:r w:rsidR="003D36E1">
        <w:rPr>
          <w:bCs/>
        </w:rPr>
        <w:t xml:space="preserve">. </w:t>
      </w:r>
      <w:r w:rsidR="0077645A">
        <w:rPr>
          <w:bCs/>
        </w:rPr>
        <w:t>The Court is opening to the public in a very limited manner on July 13, 2020 but there is no plan in the foreseeable future for DOR cases to be heard in-person</w:t>
      </w:r>
      <w:r w:rsidR="00380546">
        <w:rPr>
          <w:bCs/>
        </w:rPr>
        <w:t xml:space="preserve"> rather we will continue a virtual hearing process</w:t>
      </w:r>
      <w:r w:rsidR="0077645A">
        <w:rPr>
          <w:bCs/>
        </w:rPr>
        <w:t xml:space="preserve">.  The backlog is increasing every day and although DOR is working with the </w:t>
      </w:r>
      <w:r w:rsidR="003D36E1">
        <w:rPr>
          <w:bCs/>
        </w:rPr>
        <w:t>C</w:t>
      </w:r>
      <w:r w:rsidR="0077645A">
        <w:rPr>
          <w:bCs/>
        </w:rPr>
        <w:t xml:space="preserve">ourt on multiple paths to address this backlog, it is expected that it will take a significant amount of time to get back to normal operations.  </w:t>
      </w:r>
      <w:r w:rsidR="00FA34C1">
        <w:rPr>
          <w:bCs/>
        </w:rPr>
        <w:t>Service of process was suspended until early June.  In addition, all genetic marker testing was</w:t>
      </w:r>
      <w:r w:rsidR="001512E8">
        <w:rPr>
          <w:bCs/>
        </w:rPr>
        <w:t xml:space="preserve"> and continues to be</w:t>
      </w:r>
      <w:r w:rsidR="00FA34C1">
        <w:rPr>
          <w:bCs/>
        </w:rPr>
        <w:t xml:space="preserve"> suspended and the voluntary paternity acknowledgment rate decreased from 80% to 40% due to limitations in our hospitals</w:t>
      </w:r>
      <w:r w:rsidR="00380546">
        <w:rPr>
          <w:bCs/>
        </w:rPr>
        <w:t xml:space="preserve"> (shortened hospital stays, very limited visitors, etc.)</w:t>
      </w:r>
      <w:r w:rsidR="00FA34C1">
        <w:rPr>
          <w:bCs/>
        </w:rPr>
        <w:t xml:space="preserve">  </w:t>
      </w:r>
      <w:r w:rsidR="00446822">
        <w:rPr>
          <w:bCs/>
        </w:rPr>
        <w:t>Any further resurgence in COVID cases resulting in further closures or delayed re</w:t>
      </w:r>
      <w:r w:rsidR="003D36E1">
        <w:rPr>
          <w:bCs/>
        </w:rPr>
        <w:t>-</w:t>
      </w:r>
      <w:r w:rsidR="00446822">
        <w:rPr>
          <w:bCs/>
        </w:rPr>
        <w:t xml:space="preserve">openings will have an impact on DOR’s ability to address the backlog.  </w:t>
      </w:r>
    </w:p>
    <w:p w14:paraId="46C06C94" w14:textId="77777777" w:rsidR="003D36E1" w:rsidRDefault="003D36E1" w:rsidP="001674F5">
      <w:pPr>
        <w:rPr>
          <w:bCs/>
        </w:rPr>
      </w:pPr>
    </w:p>
    <w:p w14:paraId="42B896B9" w14:textId="56B85A51" w:rsidR="00137391" w:rsidRDefault="003D36E1" w:rsidP="001674F5">
      <w:pPr>
        <w:rPr>
          <w:bCs/>
        </w:rPr>
      </w:pPr>
      <w:r>
        <w:rPr>
          <w:bCs/>
        </w:rPr>
        <w:t xml:space="preserve">Other areas of the program have been impacted as well.  </w:t>
      </w:r>
      <w:r w:rsidR="0077645A">
        <w:rPr>
          <w:bCs/>
        </w:rPr>
        <w:t xml:space="preserve">Relevant details are provided in this document that support our request for the modification of program timeframes.   </w:t>
      </w:r>
    </w:p>
    <w:p w14:paraId="3B421FB4" w14:textId="56B7B2BF" w:rsidR="00137391" w:rsidRDefault="00137391" w:rsidP="001674F5">
      <w:pPr>
        <w:rPr>
          <w:bCs/>
        </w:rPr>
      </w:pPr>
    </w:p>
    <w:p w14:paraId="59B5723A" w14:textId="77777777" w:rsidR="00137391" w:rsidRDefault="00137391" w:rsidP="001674F5">
      <w:pPr>
        <w:rPr>
          <w:bCs/>
        </w:rPr>
      </w:pPr>
    </w:p>
    <w:p w14:paraId="708424CB" w14:textId="518E5CA6" w:rsidR="001674F5" w:rsidRPr="001674F5" w:rsidRDefault="001674F5" w:rsidP="001674F5">
      <w:pPr>
        <w:rPr>
          <w:b/>
        </w:rPr>
      </w:pPr>
      <w:r w:rsidRPr="001674F5">
        <w:rPr>
          <w:b/>
        </w:rPr>
        <w:t>Request for Modification of Program Timeframes</w:t>
      </w:r>
    </w:p>
    <w:p w14:paraId="6C4C5A9A" w14:textId="77777777" w:rsidR="00891267" w:rsidRDefault="00891267"/>
    <w:tbl>
      <w:tblPr>
        <w:tblStyle w:val="TableGrid"/>
        <w:tblW w:w="0" w:type="auto"/>
        <w:tblInd w:w="-252" w:type="dxa"/>
        <w:tblLayout w:type="fixed"/>
        <w:tblLook w:val="04A0" w:firstRow="1" w:lastRow="0" w:firstColumn="1" w:lastColumn="0" w:noHBand="0" w:noVBand="1"/>
      </w:tblPr>
      <w:tblGrid>
        <w:gridCol w:w="2430"/>
        <w:gridCol w:w="1620"/>
        <w:gridCol w:w="1620"/>
        <w:gridCol w:w="3960"/>
      </w:tblGrid>
      <w:tr w:rsidR="00BD0CE9" w14:paraId="0517C5DD" w14:textId="77777777" w:rsidTr="00A52DE7">
        <w:tc>
          <w:tcPr>
            <w:tcW w:w="2430" w:type="dxa"/>
          </w:tcPr>
          <w:p w14:paraId="483CBD9B" w14:textId="77777777" w:rsidR="00BD0CE9" w:rsidRDefault="00BD0CE9" w:rsidP="00BD0CE9">
            <w:r>
              <w:t>CRITERIA  DESCRIPTION (w/citations)</w:t>
            </w:r>
          </w:p>
        </w:tc>
        <w:tc>
          <w:tcPr>
            <w:tcW w:w="1620" w:type="dxa"/>
          </w:tcPr>
          <w:p w14:paraId="5D42C04B" w14:textId="77777777" w:rsidR="00BD0CE9" w:rsidRDefault="00BD0CE9">
            <w:r>
              <w:t>CURRENT REQUIREMENT</w:t>
            </w:r>
          </w:p>
        </w:tc>
        <w:tc>
          <w:tcPr>
            <w:tcW w:w="1620" w:type="dxa"/>
          </w:tcPr>
          <w:p w14:paraId="64D7E70B" w14:textId="77777777" w:rsidR="00BD0CE9" w:rsidRDefault="00BD0CE9">
            <w:r>
              <w:t>MODIFICATION REQUEST</w:t>
            </w:r>
          </w:p>
        </w:tc>
        <w:tc>
          <w:tcPr>
            <w:tcW w:w="3960" w:type="dxa"/>
          </w:tcPr>
          <w:p w14:paraId="49C77D1E" w14:textId="77777777" w:rsidR="00BD0CE9" w:rsidRDefault="00BD0CE9">
            <w:r>
              <w:t>RATIONALE</w:t>
            </w:r>
          </w:p>
        </w:tc>
      </w:tr>
      <w:tr w:rsidR="00BD0CE9" w14:paraId="271D732C" w14:textId="77777777" w:rsidTr="00A52DE7">
        <w:tc>
          <w:tcPr>
            <w:tcW w:w="2430" w:type="dxa"/>
          </w:tcPr>
          <w:p w14:paraId="7C0E5A37" w14:textId="77777777" w:rsidR="00BD0CE9" w:rsidRDefault="00BD0CE9">
            <w:r>
              <w:t>Review of Child Support Guidelines</w:t>
            </w:r>
          </w:p>
          <w:p w14:paraId="4DA7F341" w14:textId="77777777" w:rsidR="00BD0CE9" w:rsidRDefault="00BD0CE9"/>
          <w:p w14:paraId="3F2BE772" w14:textId="77777777" w:rsidR="00BD0CE9" w:rsidRDefault="00BD0CE9">
            <w:pPr>
              <w:rPr>
                <w:sz w:val="20"/>
                <w:szCs w:val="20"/>
              </w:rPr>
            </w:pPr>
            <w:r w:rsidRPr="00BD0CE9">
              <w:rPr>
                <w:sz w:val="20"/>
                <w:szCs w:val="20"/>
              </w:rPr>
              <w:t>42 U.S.C. § 667(a)</w:t>
            </w:r>
          </w:p>
          <w:p w14:paraId="125ACA4C" w14:textId="77777777" w:rsidR="00BD0CE9" w:rsidRPr="00BD0CE9" w:rsidRDefault="00BD0CE9">
            <w:pPr>
              <w:rPr>
                <w:sz w:val="20"/>
                <w:szCs w:val="20"/>
              </w:rPr>
            </w:pPr>
            <w:r>
              <w:rPr>
                <w:sz w:val="20"/>
                <w:szCs w:val="20"/>
              </w:rPr>
              <w:t>45</w:t>
            </w:r>
            <w:r w:rsidRPr="00BD0CE9">
              <w:rPr>
                <w:sz w:val="20"/>
                <w:szCs w:val="20"/>
              </w:rPr>
              <w:t xml:space="preserve"> C.F.R. §</w:t>
            </w:r>
            <w:r w:rsidR="00F777B6">
              <w:rPr>
                <w:sz w:val="20"/>
                <w:szCs w:val="20"/>
              </w:rPr>
              <w:t xml:space="preserve"> </w:t>
            </w:r>
            <w:r w:rsidRPr="00BD0CE9">
              <w:rPr>
                <w:sz w:val="20"/>
                <w:szCs w:val="20"/>
              </w:rPr>
              <w:t>302.56(e)</w:t>
            </w:r>
          </w:p>
        </w:tc>
        <w:tc>
          <w:tcPr>
            <w:tcW w:w="1620" w:type="dxa"/>
          </w:tcPr>
          <w:p w14:paraId="400F7CD5" w14:textId="77777777" w:rsidR="00BD0CE9" w:rsidRDefault="00BD0CE9">
            <w:r>
              <w:t>Every 4 years</w:t>
            </w:r>
          </w:p>
        </w:tc>
        <w:tc>
          <w:tcPr>
            <w:tcW w:w="1620" w:type="dxa"/>
          </w:tcPr>
          <w:p w14:paraId="2D34CC33" w14:textId="77777777" w:rsidR="00BD0CE9" w:rsidRDefault="00BD0CE9">
            <w:r>
              <w:t>Additional year before review must be completed</w:t>
            </w:r>
          </w:p>
        </w:tc>
        <w:tc>
          <w:tcPr>
            <w:tcW w:w="3960" w:type="dxa"/>
          </w:tcPr>
          <w:p w14:paraId="5D8A8BAE" w14:textId="77777777" w:rsidR="00BD0CE9" w:rsidRDefault="00BD0CE9" w:rsidP="00B7778E">
            <w:r>
              <w:t xml:space="preserve">Guidelines Task Force was being </w:t>
            </w:r>
            <w:r w:rsidR="00B7778E">
              <w:t>formed just as COVID-19 hit, causing</w:t>
            </w:r>
            <w:r w:rsidR="00225BCD">
              <w:t xml:space="preserve"> a delay in the first meeting until June 23, 2020.</w:t>
            </w:r>
            <w:r w:rsidR="00B7778E">
              <w:t xml:space="preserve">  </w:t>
            </w:r>
            <w:r>
              <w:t>This is also the first time MA will have to comply with the more demanding review requirements of the 2016 FEM regulation.</w:t>
            </w:r>
          </w:p>
        </w:tc>
      </w:tr>
      <w:tr w:rsidR="00BD0CE9" w14:paraId="2EC55EED" w14:textId="77777777" w:rsidTr="00A52DE7">
        <w:tc>
          <w:tcPr>
            <w:tcW w:w="2430" w:type="dxa"/>
          </w:tcPr>
          <w:p w14:paraId="2FD8141C" w14:textId="77777777" w:rsidR="00BD0CE9" w:rsidRDefault="00F777B6">
            <w:r>
              <w:t xml:space="preserve">Order Establishment – establish support order (&amp; paternity if needed) or complete service of </w:t>
            </w:r>
            <w:r>
              <w:lastRenderedPageBreak/>
              <w:t>process necessary to commence proceedings or document unsuccessful attempts to serve process</w:t>
            </w:r>
          </w:p>
          <w:p w14:paraId="0F8847B2" w14:textId="77777777" w:rsidR="00F777B6" w:rsidRDefault="00F777B6"/>
          <w:p w14:paraId="7A33431D" w14:textId="77777777" w:rsidR="00F777B6" w:rsidRPr="00F777B6" w:rsidRDefault="00F777B6">
            <w:pPr>
              <w:rPr>
                <w:sz w:val="20"/>
                <w:szCs w:val="20"/>
              </w:rPr>
            </w:pPr>
            <w:r w:rsidRPr="00F777B6">
              <w:rPr>
                <w:sz w:val="20"/>
                <w:szCs w:val="20"/>
              </w:rPr>
              <w:t>45 C.F.R. § 303.4(d)</w:t>
            </w:r>
          </w:p>
          <w:p w14:paraId="1BA2AC5E" w14:textId="77777777" w:rsidR="00F777B6" w:rsidRDefault="00F777B6"/>
        </w:tc>
        <w:tc>
          <w:tcPr>
            <w:tcW w:w="1620" w:type="dxa"/>
          </w:tcPr>
          <w:p w14:paraId="4ABB5D4D" w14:textId="77777777" w:rsidR="00BD0CE9" w:rsidRDefault="00F777B6">
            <w:r>
              <w:lastRenderedPageBreak/>
              <w:t xml:space="preserve">Within 90 days of locating the alleged father </w:t>
            </w:r>
            <w:r>
              <w:lastRenderedPageBreak/>
              <w:t>or noncustodial parent</w:t>
            </w:r>
          </w:p>
        </w:tc>
        <w:tc>
          <w:tcPr>
            <w:tcW w:w="1620" w:type="dxa"/>
          </w:tcPr>
          <w:p w14:paraId="10F733EF" w14:textId="77777777" w:rsidR="00BD0CE9" w:rsidRDefault="00E06FBA">
            <w:r>
              <w:lastRenderedPageBreak/>
              <w:t>270</w:t>
            </w:r>
            <w:r w:rsidR="0076769D">
              <w:t xml:space="preserve"> days</w:t>
            </w:r>
          </w:p>
        </w:tc>
        <w:tc>
          <w:tcPr>
            <w:tcW w:w="3960" w:type="dxa"/>
          </w:tcPr>
          <w:p w14:paraId="76900CF2" w14:textId="77777777" w:rsidR="00701745" w:rsidRDefault="00F777B6" w:rsidP="00701745">
            <w:r>
              <w:t>MA</w:t>
            </w:r>
            <w:r w:rsidR="00DE594F">
              <w:t xml:space="preserve"> is a judicial state, which requires </w:t>
            </w:r>
            <w:r w:rsidR="00E06FBA">
              <w:t xml:space="preserve">service of process by deputy sheriff or constable.  </w:t>
            </w:r>
            <w:r w:rsidR="00BB4961">
              <w:t xml:space="preserve">COVID-19 had an immediate and severe impact on </w:t>
            </w:r>
            <w:r w:rsidR="0076769D">
              <w:t>service</w:t>
            </w:r>
            <w:r w:rsidR="00701745">
              <w:t xml:space="preserve">.  </w:t>
            </w:r>
            <w:r w:rsidR="00C90A24">
              <w:t>All s</w:t>
            </w:r>
            <w:r w:rsidR="0076769D">
              <w:t xml:space="preserve">ervice </w:t>
            </w:r>
            <w:r w:rsidR="00C90A24">
              <w:lastRenderedPageBreak/>
              <w:t xml:space="preserve">stopped when MA declared a </w:t>
            </w:r>
            <w:r w:rsidR="0076769D">
              <w:t>state of em</w:t>
            </w:r>
            <w:r w:rsidR="00C90A24">
              <w:t xml:space="preserve">ergency in March.  DOR </w:t>
            </w:r>
            <w:r w:rsidR="0076769D">
              <w:t xml:space="preserve">had to establish new rules </w:t>
            </w:r>
            <w:r w:rsidR="00701745">
              <w:t>to meet COVID-19 requirements and</w:t>
            </w:r>
            <w:r w:rsidR="00C90A24">
              <w:t xml:space="preserve"> then</w:t>
            </w:r>
            <w:r w:rsidR="00701745">
              <w:t xml:space="preserve"> process servers had to confirm they still would provide services un</w:t>
            </w:r>
            <w:r w:rsidR="00C90A24">
              <w:t xml:space="preserve">der these rules.  Service is just recently resumed and </w:t>
            </w:r>
            <w:r w:rsidR="00701745">
              <w:t xml:space="preserve">the number of process servers willing to provide services has decreased. </w:t>
            </w:r>
          </w:p>
          <w:p w14:paraId="0F4D97CD" w14:textId="77777777" w:rsidR="00F777B6" w:rsidRDefault="0076769D" w:rsidP="00701745">
            <w:r>
              <w:t xml:space="preserve"> </w:t>
            </w:r>
          </w:p>
        </w:tc>
      </w:tr>
      <w:tr w:rsidR="00795507" w14:paraId="545F6A5E" w14:textId="77777777" w:rsidTr="00A52DE7">
        <w:tc>
          <w:tcPr>
            <w:tcW w:w="2430" w:type="dxa"/>
          </w:tcPr>
          <w:p w14:paraId="64D78090" w14:textId="77777777" w:rsidR="00795507" w:rsidRDefault="00795507">
            <w:r>
              <w:lastRenderedPageBreak/>
              <w:t xml:space="preserve">Expedited processes to establish support orders in cases needing establishment  </w:t>
            </w:r>
          </w:p>
          <w:p w14:paraId="3A6C05AE" w14:textId="77777777" w:rsidR="00795507" w:rsidRDefault="00795507">
            <w:pPr>
              <w:rPr>
                <w:sz w:val="20"/>
                <w:szCs w:val="20"/>
              </w:rPr>
            </w:pPr>
            <w:r>
              <w:rPr>
                <w:sz w:val="20"/>
                <w:szCs w:val="20"/>
              </w:rPr>
              <w:t>45 C.F.R. § 303.101(b</w:t>
            </w:r>
            <w:r w:rsidRPr="00F777B6">
              <w:rPr>
                <w:sz w:val="20"/>
                <w:szCs w:val="20"/>
              </w:rPr>
              <w:t>)</w:t>
            </w:r>
            <w:r>
              <w:rPr>
                <w:sz w:val="20"/>
                <w:szCs w:val="20"/>
              </w:rPr>
              <w:t>(2)</w:t>
            </w:r>
          </w:p>
          <w:p w14:paraId="5D22B73B" w14:textId="77777777" w:rsidR="00795507" w:rsidRDefault="00795507"/>
        </w:tc>
        <w:tc>
          <w:tcPr>
            <w:tcW w:w="1620" w:type="dxa"/>
          </w:tcPr>
          <w:p w14:paraId="17DC362A" w14:textId="77777777" w:rsidR="00795507" w:rsidRDefault="00795507">
            <w:r>
              <w:t>From service to disposition: 75% - 6 mos.</w:t>
            </w:r>
          </w:p>
          <w:p w14:paraId="7616BA07" w14:textId="77777777" w:rsidR="00795507" w:rsidRDefault="00795507">
            <w:r>
              <w:t>90% - 12 mos.</w:t>
            </w:r>
          </w:p>
          <w:p w14:paraId="60EB9767" w14:textId="77777777" w:rsidR="00795507" w:rsidRDefault="00795507"/>
        </w:tc>
        <w:tc>
          <w:tcPr>
            <w:tcW w:w="1620" w:type="dxa"/>
          </w:tcPr>
          <w:p w14:paraId="491C23CF" w14:textId="77777777" w:rsidR="00795507" w:rsidRDefault="00C90A24">
            <w:r>
              <w:t>75% - 30</w:t>
            </w:r>
            <w:r w:rsidR="00701745">
              <w:t xml:space="preserve"> mos.</w:t>
            </w:r>
          </w:p>
          <w:p w14:paraId="57968A6C" w14:textId="77777777" w:rsidR="00701745" w:rsidRDefault="00701745">
            <w:r>
              <w:t>90% - 36 mos.</w:t>
            </w:r>
          </w:p>
        </w:tc>
        <w:tc>
          <w:tcPr>
            <w:tcW w:w="3960" w:type="dxa"/>
          </w:tcPr>
          <w:p w14:paraId="4549435A" w14:textId="77777777" w:rsidR="00795507" w:rsidRDefault="00795507" w:rsidP="002B6F70">
            <w:r>
              <w:t>MA is a judicial state</w:t>
            </w:r>
            <w:r w:rsidR="00701745">
              <w:t xml:space="preserve"> and the impact of COVID-19 on </w:t>
            </w:r>
            <w:r w:rsidR="00C90A24">
              <w:t xml:space="preserve">the </w:t>
            </w:r>
            <w:r w:rsidR="00701745">
              <w:t xml:space="preserve">establishment of orders has been devastating.  See </w:t>
            </w:r>
            <w:r>
              <w:t xml:space="preserve">COVID-19 </w:t>
            </w:r>
            <w:r w:rsidR="00701745">
              <w:t>I</w:t>
            </w:r>
            <w:r>
              <w:t>mpact on Establishment of Orders</w:t>
            </w:r>
            <w:r w:rsidR="00701745">
              <w:t xml:space="preserve"> below.</w:t>
            </w:r>
          </w:p>
          <w:p w14:paraId="26A99FAD" w14:textId="77777777" w:rsidR="00795507" w:rsidRDefault="00795507" w:rsidP="002B6F70"/>
        </w:tc>
      </w:tr>
      <w:tr w:rsidR="00795507" w14:paraId="74879FC8" w14:textId="77777777" w:rsidTr="00A52DE7">
        <w:tc>
          <w:tcPr>
            <w:tcW w:w="2430" w:type="dxa"/>
          </w:tcPr>
          <w:p w14:paraId="6B806CAA" w14:textId="77777777" w:rsidR="00795507" w:rsidRDefault="00795507">
            <w:r>
              <w:t>Operational Requirements in intergovernmental cases</w:t>
            </w:r>
          </w:p>
          <w:p w14:paraId="38D5B1C4" w14:textId="77777777" w:rsidR="00795507" w:rsidRDefault="00795507" w:rsidP="0030476D">
            <w:pPr>
              <w:rPr>
                <w:sz w:val="20"/>
                <w:szCs w:val="20"/>
              </w:rPr>
            </w:pPr>
            <w:r>
              <w:rPr>
                <w:sz w:val="20"/>
                <w:szCs w:val="20"/>
              </w:rPr>
              <w:t>45 C.F.R. § 303.7</w:t>
            </w:r>
          </w:p>
          <w:p w14:paraId="7911775A" w14:textId="77777777" w:rsidR="00795507" w:rsidRDefault="00795507"/>
          <w:p w14:paraId="2E1CBF04" w14:textId="77777777" w:rsidR="00795507" w:rsidRDefault="00795507"/>
        </w:tc>
        <w:tc>
          <w:tcPr>
            <w:tcW w:w="1620" w:type="dxa"/>
          </w:tcPr>
          <w:p w14:paraId="1FD8D818" w14:textId="77777777" w:rsidR="00795507" w:rsidRDefault="00795507" w:rsidP="00D24F72">
            <w:r>
              <w:t>Various timeframes</w:t>
            </w:r>
          </w:p>
        </w:tc>
        <w:tc>
          <w:tcPr>
            <w:tcW w:w="1620" w:type="dxa"/>
          </w:tcPr>
          <w:p w14:paraId="5CE6C9D0" w14:textId="77777777" w:rsidR="00795507" w:rsidRDefault="00C90A24" w:rsidP="00D24F72">
            <w:r>
              <w:t>3 x applicable timeframe</w:t>
            </w:r>
          </w:p>
        </w:tc>
        <w:tc>
          <w:tcPr>
            <w:tcW w:w="3960" w:type="dxa"/>
          </w:tcPr>
          <w:p w14:paraId="1CD91A24" w14:textId="0BD837B4" w:rsidR="00795507" w:rsidRDefault="0035552A" w:rsidP="00FC3069">
            <w:r>
              <w:t>The impact of COVID-19 is complicated in interstate cases</w:t>
            </w:r>
            <w:r w:rsidR="009A1A9B">
              <w:t>.  Every state is facing challenges but</w:t>
            </w:r>
            <w:r w:rsidR="00FC3069">
              <w:t xml:space="preserve"> the impact and ability to deal with these challenges differs from state to state.  Trying to determine what a particular state </w:t>
            </w:r>
            <w:r w:rsidR="0036405C">
              <w:t>can</w:t>
            </w:r>
            <w:r w:rsidR="00FC3069">
              <w:t xml:space="preserve"> handle at any given point of time has resulted in the need for additional contact – at a time when many states have had change the way states should contact them. </w:t>
            </w:r>
            <w:bookmarkStart w:id="1" w:name="_GoBack"/>
            <w:bookmarkEnd w:id="1"/>
          </w:p>
          <w:p w14:paraId="4FCC87EE" w14:textId="77777777" w:rsidR="00FC3069" w:rsidRDefault="00FC3069" w:rsidP="00FC3069"/>
        </w:tc>
      </w:tr>
    </w:tbl>
    <w:p w14:paraId="1209B232" w14:textId="77777777" w:rsidR="008C5DB7" w:rsidRDefault="008C5DB7"/>
    <w:p w14:paraId="4019D56F" w14:textId="77777777" w:rsidR="00CE7E1C" w:rsidRDefault="00CE7E1C"/>
    <w:tbl>
      <w:tblPr>
        <w:tblStyle w:val="TableGrid"/>
        <w:tblW w:w="0" w:type="auto"/>
        <w:tblInd w:w="-252" w:type="dxa"/>
        <w:tblLook w:val="04A0" w:firstRow="1" w:lastRow="0" w:firstColumn="1" w:lastColumn="0" w:noHBand="0" w:noVBand="1"/>
      </w:tblPr>
      <w:tblGrid>
        <w:gridCol w:w="9602"/>
      </w:tblGrid>
      <w:tr w:rsidR="00C90A24" w14:paraId="19D9BE9A" w14:textId="77777777" w:rsidTr="004C5F66">
        <w:tc>
          <w:tcPr>
            <w:tcW w:w="9630" w:type="dxa"/>
          </w:tcPr>
          <w:p w14:paraId="3A1DD1C6" w14:textId="77777777" w:rsidR="00B57571" w:rsidRDefault="00746EEB" w:rsidP="00746EEB">
            <w:pPr>
              <w:jc w:val="center"/>
              <w:rPr>
                <w:b/>
                <w:caps/>
              </w:rPr>
            </w:pPr>
            <w:r w:rsidRPr="00746EEB">
              <w:rPr>
                <w:b/>
                <w:caps/>
              </w:rPr>
              <w:t xml:space="preserve">COVID-19 </w:t>
            </w:r>
            <w:r w:rsidR="00B57571">
              <w:rPr>
                <w:b/>
                <w:caps/>
              </w:rPr>
              <w:t xml:space="preserve">immediate and long-term </w:t>
            </w:r>
            <w:r w:rsidRPr="00746EEB">
              <w:rPr>
                <w:b/>
                <w:caps/>
              </w:rPr>
              <w:t xml:space="preserve">Impact </w:t>
            </w:r>
          </w:p>
          <w:p w14:paraId="25057997" w14:textId="77777777" w:rsidR="00C90A24" w:rsidRPr="00746EEB" w:rsidRDefault="00746EEB" w:rsidP="00746EEB">
            <w:pPr>
              <w:jc w:val="center"/>
              <w:rPr>
                <w:b/>
                <w:caps/>
              </w:rPr>
            </w:pPr>
            <w:r w:rsidRPr="00746EEB">
              <w:rPr>
                <w:b/>
                <w:caps/>
              </w:rPr>
              <w:t>on Establishment of Orders</w:t>
            </w:r>
          </w:p>
          <w:p w14:paraId="5E165578" w14:textId="77777777" w:rsidR="00746EEB" w:rsidRDefault="00746EEB"/>
        </w:tc>
      </w:tr>
      <w:tr w:rsidR="00C90A24" w14:paraId="6B217F6D" w14:textId="77777777" w:rsidTr="004C5F66">
        <w:tc>
          <w:tcPr>
            <w:tcW w:w="9630" w:type="dxa"/>
          </w:tcPr>
          <w:p w14:paraId="5171E3E6" w14:textId="77777777" w:rsidR="00C90A24" w:rsidRDefault="00C90A24"/>
          <w:p w14:paraId="1940D31C" w14:textId="77777777" w:rsidR="00746EEB" w:rsidRDefault="00B57571">
            <w:r>
              <w:t>In Massachusetts, all child support orders must be established using the judicial pr</w:t>
            </w:r>
            <w:r w:rsidR="002256F7">
              <w:t>ocess.  To expedite this</w:t>
            </w:r>
            <w:r>
              <w:t xml:space="preserve"> process in IV-D cases, DOR and the Massachusetts Trial Court enter into a yearly Interagency Service Agreement (ISA).  The ISA includes provisions that allow DOR to schedule IV-D cases</w:t>
            </w:r>
            <w:r w:rsidR="00A147D0">
              <w:t xml:space="preserve"> for DOR-only sessions in all 14 divisions of the </w:t>
            </w:r>
            <w:r>
              <w:t>Probate and Family Court; these are referred to as DOR blocktim</w:t>
            </w:r>
            <w:r w:rsidR="001B76CB">
              <w:t>e sessions.  The number of cases</w:t>
            </w:r>
            <w:r>
              <w:t xml:space="preserve"> for each particular session ranges, depending on the size of the county, the number of courts within that county and the number of IV-D cases within the county.  </w:t>
            </w:r>
            <w:r w:rsidR="00A147D0">
              <w:t>DOR is ab</w:t>
            </w:r>
            <w:r w:rsidR="00AA5A3E">
              <w:t>le to schedule more than 2,8</w:t>
            </w:r>
            <w:r w:rsidR="00A147D0">
              <w:t xml:space="preserve">00 cases per month.  Many cases are resolved by agreement or by representation </w:t>
            </w:r>
            <w:r w:rsidR="001B76CB">
              <w:t>of DOR counsel and the parties in the case</w:t>
            </w:r>
            <w:r w:rsidR="009452EC">
              <w:t>.</w:t>
            </w:r>
            <w:r w:rsidR="00B4763D">
              <w:t xml:space="preserve">  </w:t>
            </w:r>
          </w:p>
          <w:p w14:paraId="66EFA9DE" w14:textId="77777777" w:rsidR="00746EEB" w:rsidRDefault="00746EEB"/>
          <w:p w14:paraId="13549B8B" w14:textId="77777777" w:rsidR="00B57571" w:rsidRDefault="00B57571" w:rsidP="00B57571">
            <w:pPr>
              <w:jc w:val="center"/>
            </w:pPr>
            <w:r>
              <w:rPr>
                <w:b/>
                <w:bCs/>
              </w:rPr>
              <w:t>DOR ESTABLISHMENT PRIOR TO COVID-19</w:t>
            </w:r>
          </w:p>
          <w:p w14:paraId="2FDFDA92" w14:textId="77777777" w:rsidR="00B57571" w:rsidRDefault="00B57571" w:rsidP="00B57571">
            <w:pPr>
              <w:jc w:val="center"/>
            </w:pPr>
          </w:p>
          <w:p w14:paraId="39D0D9EC" w14:textId="58AA4A9B" w:rsidR="004C5F66" w:rsidRDefault="00CA6F03" w:rsidP="00B57571">
            <w:r>
              <w:t xml:space="preserve">Prior to COVID-19, establishing support orders within the required timeframes was not a problem for DOR.  Each Self-Assessment Report submitted over the last 10 years shows that more than 75% of DOR’s cases had orders established within 6 months of service of process and more than 90% of cases had orders within 12 months of service of process. DOR achieved these results due in large part to the availability of more than 2,800 monthly and 34,000 annual blocktime scheduling events under the </w:t>
            </w:r>
            <w:r>
              <w:lastRenderedPageBreak/>
              <w:t xml:space="preserve">ISA.  While not </w:t>
            </w:r>
            <w:r w:rsidR="0036405C">
              <w:t>all</w:t>
            </w:r>
            <w:r>
              <w:t xml:space="preserve"> these hearings involved establishment of support orders, the majority of blocktime events involved establishment cases in various stages of litigation.</w:t>
            </w:r>
            <w:r w:rsidR="00C17768">
              <w:t xml:space="preserve">  </w:t>
            </w:r>
            <w:r w:rsidR="009452EC">
              <w:t xml:space="preserve"> </w:t>
            </w:r>
          </w:p>
          <w:p w14:paraId="1C450622" w14:textId="77777777" w:rsidR="00B57571" w:rsidRDefault="002256F7" w:rsidP="00B57571">
            <w:r>
              <w:t xml:space="preserve">     </w:t>
            </w:r>
          </w:p>
          <w:p w14:paraId="1F090033" w14:textId="77777777" w:rsidR="004C5F66" w:rsidRDefault="004C5F66" w:rsidP="004C5F66">
            <w:pPr>
              <w:jc w:val="center"/>
              <w:rPr>
                <w:b/>
                <w:bCs/>
              </w:rPr>
            </w:pPr>
            <w:r>
              <w:rPr>
                <w:b/>
                <w:bCs/>
              </w:rPr>
              <w:t>THE IMMEDIATE IMPACT OF COVID-19</w:t>
            </w:r>
          </w:p>
          <w:p w14:paraId="375960B2" w14:textId="77777777" w:rsidR="004C5F66" w:rsidRDefault="004C5F66" w:rsidP="004C5F66">
            <w:pPr>
              <w:jc w:val="center"/>
            </w:pPr>
            <w:r>
              <w:rPr>
                <w:b/>
                <w:bCs/>
              </w:rPr>
              <w:t>ON ESTABLISHMENT OF SUPPORT ORDERS</w:t>
            </w:r>
          </w:p>
          <w:p w14:paraId="7ADF6108" w14:textId="77777777" w:rsidR="004C5F66" w:rsidRDefault="004C5F66" w:rsidP="004C5F66">
            <w:pPr>
              <w:jc w:val="center"/>
            </w:pPr>
          </w:p>
          <w:p w14:paraId="669A5DF9" w14:textId="77777777" w:rsidR="00DB7095" w:rsidRDefault="004C5F66">
            <w:bookmarkStart w:id="2" w:name="_Hlk45204626"/>
            <w:r>
              <w:t xml:space="preserve">On March 10, 2020, Governor Baker declared a State of Emergency for the </w:t>
            </w:r>
            <w:r w:rsidR="006C54DA">
              <w:t xml:space="preserve">Commonwealth of Massachusetts due to the COVID-19 crisis.  On March 17, 2020, </w:t>
            </w:r>
            <w:r w:rsidR="001B76CB">
              <w:t xml:space="preserve">the </w:t>
            </w:r>
            <w:r w:rsidR="006C54DA">
              <w:t xml:space="preserve">Supreme Judicial Court of the </w:t>
            </w:r>
            <w:r w:rsidR="004718DE">
              <w:t>Commonwealth of Massachusetts</w:t>
            </w:r>
            <w:r w:rsidR="006C54DA">
              <w:t xml:space="preserve"> </w:t>
            </w:r>
            <w:r w:rsidR="00DB7095">
              <w:t>ordered the</w:t>
            </w:r>
            <w:r w:rsidR="006C54DA">
              <w:t xml:space="preserve"> closing </w:t>
            </w:r>
            <w:r w:rsidR="00DB7095">
              <w:t xml:space="preserve">of </w:t>
            </w:r>
            <w:r w:rsidR="006C54DA">
              <w:t>all MA courts</w:t>
            </w:r>
            <w:r w:rsidR="00DB7095">
              <w:t>, including Probate and Family Courts (PFC),</w:t>
            </w:r>
            <w:r w:rsidR="006C54DA">
              <w:t xml:space="preserve"> to the public</w:t>
            </w:r>
            <w:r w:rsidR="00010085">
              <w:t xml:space="preserve"> beginning March 18, 2020</w:t>
            </w:r>
            <w:r w:rsidR="00DB7095">
              <w:t>.  Per a Standing Order issued by the Chief Justice</w:t>
            </w:r>
            <w:r w:rsidR="001B76CB">
              <w:t xml:space="preserve"> of the Probate and Family Court</w:t>
            </w:r>
            <w:r w:rsidR="00DB7095">
              <w:t xml:space="preserve">, the courts </w:t>
            </w:r>
            <w:r w:rsidR="00010085">
              <w:t xml:space="preserve">remain closed </w:t>
            </w:r>
            <w:r w:rsidR="00DB7095">
              <w:t>to the public</w:t>
            </w:r>
            <w:r w:rsidR="001B76CB">
              <w:t>, except for emergency matters,</w:t>
            </w:r>
            <w:r w:rsidR="00DB7095">
              <w:t xml:space="preserve"> until at least July 1, 2020.  </w:t>
            </w:r>
            <w:bookmarkEnd w:id="2"/>
            <w:r w:rsidR="00DB7095">
              <w:t>Although the Standing Order provided rules as</w:t>
            </w:r>
            <w:r w:rsidR="001B76CB">
              <w:t xml:space="preserve"> to</w:t>
            </w:r>
            <w:r w:rsidR="00DB7095">
              <w:t xml:space="preserve"> how the court would handle pending matters via videoconferencing whenever possible, </w:t>
            </w:r>
            <w:r w:rsidR="001B76CB">
              <w:t xml:space="preserve">DOR cases were not included in that process and DOR was asked to work out those details at the county level.  </w:t>
            </w:r>
          </w:p>
          <w:p w14:paraId="4B141337" w14:textId="77777777" w:rsidR="001B76CB" w:rsidRDefault="001B76CB"/>
          <w:p w14:paraId="5C320530" w14:textId="62C31034" w:rsidR="00C17768" w:rsidRDefault="006F3046">
            <w:r>
              <w:t>DOR had more than</w:t>
            </w:r>
            <w:r w:rsidR="004635F8">
              <w:t xml:space="preserve"> 8,600</w:t>
            </w:r>
            <w:r>
              <w:t xml:space="preserve"> cases scheduled for </w:t>
            </w:r>
            <w:r w:rsidR="004635F8">
              <w:t>the first three</w:t>
            </w:r>
            <w:r>
              <w:t xml:space="preserve"> months the courts were closed and the v</w:t>
            </w:r>
            <w:r w:rsidR="00C17768">
              <w:t>ast majority of these cases related to</w:t>
            </w:r>
            <w:r>
              <w:t xml:space="preserve"> establishment cases.  </w:t>
            </w:r>
            <w:r w:rsidR="0036405C">
              <w:t>All</w:t>
            </w:r>
            <w:r>
              <w:t xml:space="preserve"> these cases had to be continued and</w:t>
            </w:r>
            <w:r w:rsidR="00C17768">
              <w:t xml:space="preserve"> the hearings have yet to occur, which </w:t>
            </w:r>
            <w:r w:rsidR="004635F8">
              <w:t xml:space="preserve">means that no child support orders were </w:t>
            </w:r>
            <w:r w:rsidR="00C17768">
              <w:t>established for a quarter of this year.</w:t>
            </w:r>
            <w:r w:rsidR="00AC176A">
              <w:t xml:space="preserve">  The Standing Order now provides for </w:t>
            </w:r>
            <w:r w:rsidR="004A6C44">
              <w:t xml:space="preserve">a </w:t>
            </w:r>
            <w:r w:rsidR="00AC176A">
              <w:t xml:space="preserve">maximum of 30 videoconference hearings for any DOR blocktime session and DOR is working with the court to schedule </w:t>
            </w:r>
            <w:r w:rsidR="0036405C">
              <w:t>these,</w:t>
            </w:r>
            <w:r w:rsidR="00AC176A">
              <w:t xml:space="preserve"> but implementation has presented many challenges that are not easily overcome.</w:t>
            </w:r>
            <w:r w:rsidR="001B28CF">
              <w:t xml:space="preserve">  DOR is working with the Probate and Family Court to </w:t>
            </w:r>
            <w:r w:rsidR="001E0F38">
              <w:t xml:space="preserve">continue to </w:t>
            </w:r>
            <w:r w:rsidR="001B28CF">
              <w:t>improve the process</w:t>
            </w:r>
            <w:r w:rsidR="00AA5A3E">
              <w:t xml:space="preserve"> but for July, DOR has been able to schedule less than 15% of the 3,210 blocktime cases that would have been scheduled without COVID-19</w:t>
            </w:r>
            <w:r w:rsidR="004A6C44">
              <w:t>.</w:t>
            </w:r>
            <w:r w:rsidR="00AC176A">
              <w:t xml:space="preserve">  </w:t>
            </w:r>
          </w:p>
          <w:p w14:paraId="05FDE4F9" w14:textId="77777777" w:rsidR="004A6C44" w:rsidRDefault="004A6C44"/>
          <w:p w14:paraId="7845D276" w14:textId="66514DC5" w:rsidR="005679DD" w:rsidRPr="004718DE" w:rsidRDefault="009E208F" w:rsidP="004718DE">
            <w:pPr>
              <w:shd w:val="clear" w:color="auto" w:fill="FFFFFF" w:themeFill="background1"/>
            </w:pPr>
            <w:r w:rsidRPr="004718DE">
              <w:t xml:space="preserve">To meet the requirement of establishing child support orders within 6 months of service of process in 75% of its cases, DOR </w:t>
            </w:r>
            <w:r w:rsidR="00CE50E5" w:rsidRPr="004718DE">
              <w:t xml:space="preserve">scheduled </w:t>
            </w:r>
            <w:r w:rsidRPr="004718DE">
              <w:t xml:space="preserve">2,865 hearings each month, which totals </w:t>
            </w:r>
            <w:r w:rsidR="00CE50E5" w:rsidRPr="004718DE">
              <w:t xml:space="preserve">more than 17,000 hearings over any </w:t>
            </w:r>
            <w:r w:rsidR="0036405C" w:rsidRPr="004718DE">
              <w:t>6-month</w:t>
            </w:r>
            <w:r w:rsidR="00CE50E5" w:rsidRPr="004718DE">
              <w:t xml:space="preserve"> period</w:t>
            </w:r>
            <w:r w:rsidRPr="004718DE">
              <w:t xml:space="preserve"> prior to COVID-19</w:t>
            </w:r>
            <w:r w:rsidR="00CE50E5" w:rsidRPr="004718DE">
              <w:t>.  In the first three months of the COVID-19 crisis, Massachusett</w:t>
            </w:r>
            <w:r w:rsidRPr="004718DE">
              <w:t xml:space="preserve">s courts were </w:t>
            </w:r>
            <w:r w:rsidR="0036405C" w:rsidRPr="004718DE">
              <w:t>closed,</w:t>
            </w:r>
            <w:r w:rsidRPr="004718DE">
              <w:t xml:space="preserve"> and all scheduled hearings were cancelled.  DOR is presently scheduling only 15% of its pre-COVID hearings, with the hope that this number increases to 25% at some point.</w:t>
            </w:r>
          </w:p>
          <w:p w14:paraId="29A7E6F0" w14:textId="77777777" w:rsidR="005679DD" w:rsidRPr="004718DE" w:rsidRDefault="005679DD"/>
          <w:p w14:paraId="29535896" w14:textId="548ECB9F" w:rsidR="00746EEB" w:rsidRDefault="005679DD">
            <w:r w:rsidRPr="004718DE">
              <w:t xml:space="preserve">Below are the number of available hearings for each month of 2020 and how it is now impossible for DOR to establish orders in 75% of its cases for any </w:t>
            </w:r>
            <w:r w:rsidR="0036405C" w:rsidRPr="004718DE">
              <w:t>6-month</w:t>
            </w:r>
            <w:r w:rsidRPr="004718DE">
              <w:t xml:space="preserve"> period in 2020.  </w:t>
            </w:r>
            <w:r w:rsidR="001B28CF" w:rsidRPr="004718DE">
              <w:t xml:space="preserve"> The</w:t>
            </w:r>
            <w:r w:rsidR="004A6C44" w:rsidRPr="004718DE">
              <w:t xml:space="preserve"> 1</w:t>
            </w:r>
            <w:r w:rsidR="004A6C44" w:rsidRPr="004718DE">
              <w:rPr>
                <w:vertAlign w:val="superscript"/>
              </w:rPr>
              <w:t>st</w:t>
            </w:r>
            <w:r w:rsidR="004A6C44" w:rsidRPr="004718DE">
              <w:t xml:space="preserve"> quarter of 2020</w:t>
            </w:r>
            <w:r w:rsidRPr="004718DE">
              <w:t xml:space="preserve"> is coded green and</w:t>
            </w:r>
            <w:r w:rsidR="001B28CF" w:rsidRPr="004718DE">
              <w:t xml:space="preserve"> represent</w:t>
            </w:r>
            <w:r w:rsidRPr="004718DE">
              <w:t>s</w:t>
            </w:r>
            <w:r w:rsidR="001B28CF" w:rsidRPr="004718DE">
              <w:t xml:space="preserve"> full blocktime schedules</w:t>
            </w:r>
            <w:r w:rsidR="00156CC0" w:rsidRPr="004718DE">
              <w:t xml:space="preserve"> of 2</w:t>
            </w:r>
            <w:r w:rsidR="001E0F38">
              <w:t>,</w:t>
            </w:r>
            <w:r w:rsidR="00156CC0" w:rsidRPr="004718DE">
              <w:t>865 hearings per month</w:t>
            </w:r>
            <w:r w:rsidR="004A6C44" w:rsidRPr="004718DE">
              <w:t>; the 2</w:t>
            </w:r>
            <w:r w:rsidR="004A6C44" w:rsidRPr="004718DE">
              <w:rPr>
                <w:vertAlign w:val="superscript"/>
              </w:rPr>
              <w:t>nd</w:t>
            </w:r>
            <w:r w:rsidR="004A6C44" w:rsidRPr="004718DE">
              <w:t xml:space="preserve"> quarter is red to represent no hearing</w:t>
            </w:r>
            <w:r w:rsidR="001B28CF" w:rsidRPr="004718DE">
              <w:t>s</w:t>
            </w:r>
            <w:r w:rsidR="00156CC0" w:rsidRPr="004718DE">
              <w:t xml:space="preserve"> per month</w:t>
            </w:r>
            <w:r w:rsidR="004A6C44" w:rsidRPr="004718DE">
              <w:t>, the 3</w:t>
            </w:r>
            <w:r w:rsidR="004A6C44" w:rsidRPr="004718DE">
              <w:rPr>
                <w:vertAlign w:val="superscript"/>
              </w:rPr>
              <w:t>rd</w:t>
            </w:r>
            <w:r w:rsidR="004A6C44" w:rsidRPr="004718DE">
              <w:t xml:space="preserve"> qu</w:t>
            </w:r>
            <w:r w:rsidR="00AA5A3E" w:rsidRPr="004718DE">
              <w:t>arter is yellow to represent</w:t>
            </w:r>
            <w:r w:rsidR="00CE7E1C" w:rsidRPr="004718DE">
              <w:t xml:space="preserve"> the current scheduling of 15% of </w:t>
            </w:r>
            <w:r w:rsidR="00EE4BD7" w:rsidRPr="004718DE">
              <w:t>pre-COVID hearing numbers and</w:t>
            </w:r>
            <w:r w:rsidR="00156CC0" w:rsidRPr="004718DE">
              <w:t xml:space="preserve"> the 4</w:t>
            </w:r>
            <w:r w:rsidR="00156CC0" w:rsidRPr="004718DE">
              <w:rPr>
                <w:vertAlign w:val="superscript"/>
              </w:rPr>
              <w:t>th</w:t>
            </w:r>
            <w:r w:rsidR="00156CC0" w:rsidRPr="004718DE">
              <w:t xml:space="preserve"> quarter</w:t>
            </w:r>
            <w:r w:rsidR="004A6C44" w:rsidRPr="004718DE">
              <w:t xml:space="preserve"> is orang</w:t>
            </w:r>
            <w:r w:rsidR="00123A37" w:rsidRPr="004718DE">
              <w:t xml:space="preserve">e to represent </w:t>
            </w:r>
            <w:r w:rsidR="00CE7E1C" w:rsidRPr="004718DE">
              <w:t>25% of pre-COVID hearings, though getting to even this number will be difficult</w:t>
            </w:r>
            <w:r w:rsidR="00123A37" w:rsidRPr="004718DE">
              <w:t>.</w:t>
            </w:r>
            <w:r w:rsidRPr="004718DE">
              <w:t xml:space="preserve">  Compare</w:t>
            </w:r>
            <w:r w:rsidR="00CE7E1C" w:rsidRPr="004718DE">
              <w:t xml:space="preserve"> the total for</w:t>
            </w:r>
            <w:r w:rsidRPr="004718DE">
              <w:t xml:space="preserve"> any </w:t>
            </w:r>
            <w:r w:rsidR="0036405C" w:rsidRPr="004718DE">
              <w:t>6-month</w:t>
            </w:r>
            <w:r w:rsidRPr="004718DE">
              <w:t xml:space="preserve"> </w:t>
            </w:r>
            <w:r w:rsidR="00CE7E1C" w:rsidRPr="004718DE">
              <w:t xml:space="preserve">block below with the pre-COVID total </w:t>
            </w:r>
            <w:r w:rsidRPr="004718DE">
              <w:t>of more than 17,000</w:t>
            </w:r>
            <w:r w:rsidR="00CE7E1C" w:rsidRPr="004718DE">
              <w:t xml:space="preserve"> hearings.</w:t>
            </w:r>
            <w:r>
              <w:t xml:space="preserve"> </w:t>
            </w:r>
          </w:p>
          <w:p w14:paraId="7D7A2C55" w14:textId="77777777" w:rsidR="00156CC0" w:rsidRDefault="00156CC0" w:rsidP="00CE7E1C">
            <w:pPr>
              <w:jc w:val="center"/>
            </w:pPr>
          </w:p>
          <w:p w14:paraId="5303C1C6" w14:textId="77777777" w:rsidR="00123A37" w:rsidRDefault="00123A37"/>
          <w:tbl>
            <w:tblPr>
              <w:tblStyle w:val="TableGrid"/>
              <w:tblW w:w="0" w:type="auto"/>
              <w:tblLook w:val="04A0" w:firstRow="1" w:lastRow="0" w:firstColumn="1" w:lastColumn="0" w:noHBand="0" w:noVBand="1"/>
            </w:tblPr>
            <w:tblGrid>
              <w:gridCol w:w="782"/>
              <w:gridCol w:w="782"/>
              <w:gridCol w:w="781"/>
              <w:gridCol w:w="780"/>
              <w:gridCol w:w="781"/>
              <w:gridCol w:w="782"/>
              <w:gridCol w:w="781"/>
              <w:gridCol w:w="781"/>
              <w:gridCol w:w="781"/>
              <w:gridCol w:w="782"/>
              <w:gridCol w:w="782"/>
              <w:gridCol w:w="781"/>
            </w:tblGrid>
            <w:tr w:rsidR="00BB1B7C" w14:paraId="1081936A" w14:textId="77777777" w:rsidTr="00BB1B7C">
              <w:tc>
                <w:tcPr>
                  <w:tcW w:w="783" w:type="dxa"/>
                  <w:shd w:val="clear" w:color="auto" w:fill="FFFFFF" w:themeFill="background1"/>
                </w:tcPr>
                <w:p w14:paraId="522D9D60" w14:textId="77777777" w:rsidR="007A232F" w:rsidRDefault="007A232F" w:rsidP="008F7AFC">
                  <w:r>
                    <w:t>JAN</w:t>
                  </w:r>
                </w:p>
              </w:tc>
              <w:tc>
                <w:tcPr>
                  <w:tcW w:w="783" w:type="dxa"/>
                  <w:shd w:val="clear" w:color="auto" w:fill="FFFFFF" w:themeFill="background1"/>
                </w:tcPr>
                <w:p w14:paraId="3AFB3A8D" w14:textId="77777777" w:rsidR="007A232F" w:rsidRDefault="007A232F" w:rsidP="008F7AFC">
                  <w:r>
                    <w:t>FEB</w:t>
                  </w:r>
                </w:p>
              </w:tc>
              <w:tc>
                <w:tcPr>
                  <w:tcW w:w="783" w:type="dxa"/>
                  <w:shd w:val="clear" w:color="auto" w:fill="FFFFFF" w:themeFill="background1"/>
                </w:tcPr>
                <w:p w14:paraId="5302026C" w14:textId="77777777" w:rsidR="007A232F" w:rsidRDefault="007A232F" w:rsidP="008F7AFC">
                  <w:r>
                    <w:t>MAR</w:t>
                  </w:r>
                </w:p>
              </w:tc>
              <w:tc>
                <w:tcPr>
                  <w:tcW w:w="783" w:type="dxa"/>
                  <w:shd w:val="clear" w:color="auto" w:fill="FFFFFF" w:themeFill="background1"/>
                </w:tcPr>
                <w:p w14:paraId="0F23C2DA" w14:textId="77777777" w:rsidR="007A232F" w:rsidRDefault="007A232F" w:rsidP="008F7AFC">
                  <w:r>
                    <w:t>APR</w:t>
                  </w:r>
                </w:p>
              </w:tc>
              <w:tc>
                <w:tcPr>
                  <w:tcW w:w="783" w:type="dxa"/>
                  <w:shd w:val="clear" w:color="auto" w:fill="FFFFFF" w:themeFill="background1"/>
                </w:tcPr>
                <w:p w14:paraId="69F6E1F6" w14:textId="77777777" w:rsidR="007A232F" w:rsidRDefault="007A232F" w:rsidP="008F7AFC">
                  <w:r>
                    <w:t>MAY</w:t>
                  </w:r>
                </w:p>
              </w:tc>
              <w:tc>
                <w:tcPr>
                  <w:tcW w:w="783" w:type="dxa"/>
                  <w:shd w:val="clear" w:color="auto" w:fill="FFFFFF" w:themeFill="background1"/>
                </w:tcPr>
                <w:p w14:paraId="3F47801F" w14:textId="77777777" w:rsidR="007A232F" w:rsidRDefault="007A232F" w:rsidP="008F7AFC">
                  <w:r>
                    <w:t>JUNE</w:t>
                  </w:r>
                </w:p>
              </w:tc>
              <w:tc>
                <w:tcPr>
                  <w:tcW w:w="783" w:type="dxa"/>
                  <w:shd w:val="clear" w:color="auto" w:fill="FFFFFF" w:themeFill="background1"/>
                </w:tcPr>
                <w:p w14:paraId="350AF25D" w14:textId="77777777" w:rsidR="007A232F" w:rsidRDefault="007A232F" w:rsidP="008F7AFC">
                  <w:r>
                    <w:t>JULY</w:t>
                  </w:r>
                </w:p>
              </w:tc>
              <w:tc>
                <w:tcPr>
                  <w:tcW w:w="783" w:type="dxa"/>
                  <w:shd w:val="clear" w:color="auto" w:fill="FFFFFF" w:themeFill="background1"/>
                </w:tcPr>
                <w:p w14:paraId="0000B01B" w14:textId="77777777" w:rsidR="007A232F" w:rsidRDefault="007A232F" w:rsidP="008F7AFC">
                  <w:r>
                    <w:t>AUG</w:t>
                  </w:r>
                </w:p>
              </w:tc>
              <w:tc>
                <w:tcPr>
                  <w:tcW w:w="783" w:type="dxa"/>
                  <w:shd w:val="clear" w:color="auto" w:fill="FFFFFF" w:themeFill="background1"/>
                </w:tcPr>
                <w:p w14:paraId="3570B8E0" w14:textId="77777777" w:rsidR="007A232F" w:rsidRDefault="007A232F" w:rsidP="008F7AFC">
                  <w:r>
                    <w:t>SEPT</w:t>
                  </w:r>
                </w:p>
              </w:tc>
              <w:tc>
                <w:tcPr>
                  <w:tcW w:w="784" w:type="dxa"/>
                  <w:shd w:val="clear" w:color="auto" w:fill="FFFFFF" w:themeFill="background1"/>
                </w:tcPr>
                <w:p w14:paraId="407144A4" w14:textId="77777777" w:rsidR="007A232F" w:rsidRDefault="007A232F" w:rsidP="008F7AFC">
                  <w:r>
                    <w:t>OCT</w:t>
                  </w:r>
                </w:p>
              </w:tc>
              <w:tc>
                <w:tcPr>
                  <w:tcW w:w="784" w:type="dxa"/>
                  <w:shd w:val="clear" w:color="auto" w:fill="FFFFFF" w:themeFill="background1"/>
                </w:tcPr>
                <w:p w14:paraId="546311FB" w14:textId="77777777" w:rsidR="007A232F" w:rsidRDefault="007A232F" w:rsidP="008F7AFC">
                  <w:r>
                    <w:t>NOV</w:t>
                  </w:r>
                </w:p>
              </w:tc>
              <w:tc>
                <w:tcPr>
                  <w:tcW w:w="784" w:type="dxa"/>
                  <w:shd w:val="clear" w:color="auto" w:fill="FFFFFF" w:themeFill="background1"/>
                </w:tcPr>
                <w:p w14:paraId="77B5B22E" w14:textId="77777777" w:rsidR="007A232F" w:rsidRDefault="007A232F" w:rsidP="008F7AFC">
                  <w:r>
                    <w:t>DEC</w:t>
                  </w:r>
                </w:p>
              </w:tc>
            </w:tr>
            <w:tr w:rsidR="007A232F" w14:paraId="03FE55BA" w14:textId="77777777" w:rsidTr="007A232F">
              <w:tc>
                <w:tcPr>
                  <w:tcW w:w="783" w:type="dxa"/>
                  <w:shd w:val="clear" w:color="auto" w:fill="9BBB59" w:themeFill="accent3"/>
                </w:tcPr>
                <w:p w14:paraId="5600F0FE" w14:textId="77777777" w:rsidR="007A232F" w:rsidRDefault="00CE50E5">
                  <w:r>
                    <w:t>2865</w:t>
                  </w:r>
                </w:p>
              </w:tc>
              <w:tc>
                <w:tcPr>
                  <w:tcW w:w="783" w:type="dxa"/>
                  <w:shd w:val="clear" w:color="auto" w:fill="9BBB59" w:themeFill="accent3"/>
                </w:tcPr>
                <w:p w14:paraId="7D2A35E8" w14:textId="77777777" w:rsidR="007A232F" w:rsidRDefault="00CE50E5">
                  <w:r>
                    <w:t>2865</w:t>
                  </w:r>
                </w:p>
              </w:tc>
              <w:tc>
                <w:tcPr>
                  <w:tcW w:w="783" w:type="dxa"/>
                  <w:shd w:val="clear" w:color="auto" w:fill="9BBB59" w:themeFill="accent3"/>
                </w:tcPr>
                <w:p w14:paraId="57630C3A" w14:textId="77777777" w:rsidR="007A232F" w:rsidRDefault="00CE50E5">
                  <w:r>
                    <w:t>2865</w:t>
                  </w:r>
                </w:p>
              </w:tc>
              <w:tc>
                <w:tcPr>
                  <w:tcW w:w="783" w:type="dxa"/>
                  <w:shd w:val="clear" w:color="auto" w:fill="FF0000"/>
                </w:tcPr>
                <w:p w14:paraId="0DD8EC28" w14:textId="77777777" w:rsidR="007A232F" w:rsidRDefault="00CE50E5">
                  <w:r>
                    <w:t>0</w:t>
                  </w:r>
                </w:p>
              </w:tc>
              <w:tc>
                <w:tcPr>
                  <w:tcW w:w="783" w:type="dxa"/>
                  <w:shd w:val="clear" w:color="auto" w:fill="FF0000"/>
                </w:tcPr>
                <w:p w14:paraId="55E88143" w14:textId="77777777" w:rsidR="007A232F" w:rsidRDefault="00CE50E5">
                  <w:r>
                    <w:t>0</w:t>
                  </w:r>
                </w:p>
              </w:tc>
              <w:tc>
                <w:tcPr>
                  <w:tcW w:w="783" w:type="dxa"/>
                  <w:shd w:val="clear" w:color="auto" w:fill="FF0000"/>
                </w:tcPr>
                <w:p w14:paraId="53B3D329" w14:textId="77777777" w:rsidR="007A232F" w:rsidRDefault="00CE50E5">
                  <w:r>
                    <w:t>0</w:t>
                  </w:r>
                </w:p>
              </w:tc>
              <w:tc>
                <w:tcPr>
                  <w:tcW w:w="783" w:type="dxa"/>
                  <w:shd w:val="clear" w:color="auto" w:fill="auto"/>
                </w:tcPr>
                <w:p w14:paraId="34B8B458" w14:textId="77777777" w:rsidR="007A232F" w:rsidRDefault="007A232F"/>
              </w:tc>
              <w:tc>
                <w:tcPr>
                  <w:tcW w:w="783" w:type="dxa"/>
                  <w:shd w:val="clear" w:color="auto" w:fill="auto"/>
                </w:tcPr>
                <w:p w14:paraId="2CEB75C0" w14:textId="77777777" w:rsidR="007A232F" w:rsidRDefault="007A232F"/>
              </w:tc>
              <w:tc>
                <w:tcPr>
                  <w:tcW w:w="783" w:type="dxa"/>
                  <w:shd w:val="clear" w:color="auto" w:fill="auto"/>
                </w:tcPr>
                <w:p w14:paraId="60112229" w14:textId="77777777" w:rsidR="007A232F" w:rsidRDefault="007A232F"/>
              </w:tc>
              <w:tc>
                <w:tcPr>
                  <w:tcW w:w="784" w:type="dxa"/>
                  <w:shd w:val="clear" w:color="auto" w:fill="auto"/>
                </w:tcPr>
                <w:p w14:paraId="0C586FD1" w14:textId="77777777" w:rsidR="007A232F" w:rsidRDefault="007A232F"/>
              </w:tc>
              <w:tc>
                <w:tcPr>
                  <w:tcW w:w="784" w:type="dxa"/>
                  <w:shd w:val="clear" w:color="auto" w:fill="auto"/>
                </w:tcPr>
                <w:p w14:paraId="37C64E23" w14:textId="77777777" w:rsidR="007A232F" w:rsidRDefault="007A232F"/>
              </w:tc>
              <w:tc>
                <w:tcPr>
                  <w:tcW w:w="784" w:type="dxa"/>
                  <w:shd w:val="clear" w:color="auto" w:fill="auto"/>
                </w:tcPr>
                <w:p w14:paraId="4DB06ACF" w14:textId="77777777" w:rsidR="007A232F" w:rsidRDefault="007A232F"/>
              </w:tc>
            </w:tr>
            <w:tr w:rsidR="007A232F" w14:paraId="50A4AA64" w14:textId="77777777" w:rsidTr="00BB1B7C">
              <w:tc>
                <w:tcPr>
                  <w:tcW w:w="783" w:type="dxa"/>
                  <w:shd w:val="clear" w:color="auto" w:fill="auto"/>
                </w:tcPr>
                <w:p w14:paraId="4F2B81D5" w14:textId="77777777" w:rsidR="007A232F" w:rsidRDefault="007A232F" w:rsidP="008F7AFC"/>
              </w:tc>
              <w:tc>
                <w:tcPr>
                  <w:tcW w:w="783" w:type="dxa"/>
                  <w:shd w:val="clear" w:color="auto" w:fill="auto"/>
                </w:tcPr>
                <w:p w14:paraId="5320AA3C" w14:textId="77777777" w:rsidR="007A232F" w:rsidRDefault="007A232F" w:rsidP="008F7AFC"/>
              </w:tc>
              <w:tc>
                <w:tcPr>
                  <w:tcW w:w="783" w:type="dxa"/>
                  <w:shd w:val="clear" w:color="auto" w:fill="auto"/>
                </w:tcPr>
                <w:p w14:paraId="272FA22E" w14:textId="77777777" w:rsidR="007A232F" w:rsidRDefault="007A232F" w:rsidP="008F7AFC"/>
              </w:tc>
              <w:tc>
                <w:tcPr>
                  <w:tcW w:w="783" w:type="dxa"/>
                  <w:shd w:val="clear" w:color="auto" w:fill="auto"/>
                </w:tcPr>
                <w:p w14:paraId="696D8524" w14:textId="77777777" w:rsidR="007A232F" w:rsidRDefault="007A232F" w:rsidP="008F7AFC"/>
              </w:tc>
              <w:tc>
                <w:tcPr>
                  <w:tcW w:w="783" w:type="dxa"/>
                  <w:shd w:val="clear" w:color="auto" w:fill="auto"/>
                </w:tcPr>
                <w:p w14:paraId="2999AC64" w14:textId="77777777" w:rsidR="007A232F" w:rsidRDefault="007A232F" w:rsidP="008F7AFC"/>
              </w:tc>
              <w:tc>
                <w:tcPr>
                  <w:tcW w:w="783" w:type="dxa"/>
                  <w:shd w:val="clear" w:color="auto" w:fill="auto"/>
                </w:tcPr>
                <w:p w14:paraId="07774AE7" w14:textId="77777777" w:rsidR="007A232F" w:rsidRDefault="007A232F" w:rsidP="008F7AFC"/>
              </w:tc>
              <w:tc>
                <w:tcPr>
                  <w:tcW w:w="783" w:type="dxa"/>
                  <w:shd w:val="clear" w:color="auto" w:fill="auto"/>
                </w:tcPr>
                <w:p w14:paraId="068139D7" w14:textId="77777777" w:rsidR="007A232F" w:rsidRDefault="007A232F"/>
              </w:tc>
              <w:tc>
                <w:tcPr>
                  <w:tcW w:w="783" w:type="dxa"/>
                  <w:shd w:val="clear" w:color="auto" w:fill="auto"/>
                </w:tcPr>
                <w:p w14:paraId="2694B03E" w14:textId="77777777" w:rsidR="007A232F" w:rsidRDefault="007A232F"/>
              </w:tc>
              <w:tc>
                <w:tcPr>
                  <w:tcW w:w="783" w:type="dxa"/>
                  <w:shd w:val="clear" w:color="auto" w:fill="auto"/>
                </w:tcPr>
                <w:p w14:paraId="313A0AC6" w14:textId="77777777" w:rsidR="007A232F" w:rsidRDefault="007A232F"/>
              </w:tc>
              <w:tc>
                <w:tcPr>
                  <w:tcW w:w="784" w:type="dxa"/>
                  <w:shd w:val="clear" w:color="auto" w:fill="auto"/>
                </w:tcPr>
                <w:p w14:paraId="1ABC1603" w14:textId="77777777" w:rsidR="007A232F" w:rsidRDefault="007A232F"/>
              </w:tc>
              <w:tc>
                <w:tcPr>
                  <w:tcW w:w="784" w:type="dxa"/>
                  <w:shd w:val="clear" w:color="auto" w:fill="auto"/>
                </w:tcPr>
                <w:p w14:paraId="3CA540E4" w14:textId="77777777" w:rsidR="007A232F" w:rsidRDefault="007A232F"/>
              </w:tc>
              <w:tc>
                <w:tcPr>
                  <w:tcW w:w="784" w:type="dxa"/>
                  <w:shd w:val="clear" w:color="auto" w:fill="auto"/>
                </w:tcPr>
                <w:p w14:paraId="2AB72F77" w14:textId="77777777" w:rsidR="007A232F" w:rsidRDefault="007A232F"/>
              </w:tc>
            </w:tr>
            <w:tr w:rsidR="007A232F" w14:paraId="6DB9EF77" w14:textId="77777777" w:rsidTr="007A232F">
              <w:tc>
                <w:tcPr>
                  <w:tcW w:w="783" w:type="dxa"/>
                  <w:shd w:val="clear" w:color="auto" w:fill="auto"/>
                </w:tcPr>
                <w:p w14:paraId="5829A714" w14:textId="77777777" w:rsidR="007A232F" w:rsidRDefault="007A232F" w:rsidP="008F7AFC"/>
              </w:tc>
              <w:tc>
                <w:tcPr>
                  <w:tcW w:w="783" w:type="dxa"/>
                  <w:shd w:val="clear" w:color="auto" w:fill="auto"/>
                </w:tcPr>
                <w:p w14:paraId="50FB818E" w14:textId="77777777" w:rsidR="007A232F" w:rsidRDefault="007A232F" w:rsidP="008F7AFC"/>
              </w:tc>
              <w:tc>
                <w:tcPr>
                  <w:tcW w:w="783" w:type="dxa"/>
                  <w:shd w:val="clear" w:color="auto" w:fill="auto"/>
                </w:tcPr>
                <w:p w14:paraId="5BA615E0" w14:textId="77777777" w:rsidR="007A232F" w:rsidRDefault="007A232F" w:rsidP="008F7AFC"/>
              </w:tc>
              <w:tc>
                <w:tcPr>
                  <w:tcW w:w="783" w:type="dxa"/>
                  <w:shd w:val="clear" w:color="auto" w:fill="FF0000"/>
                </w:tcPr>
                <w:p w14:paraId="0DA224CB" w14:textId="77777777" w:rsidR="007A232F" w:rsidRDefault="00CE50E5" w:rsidP="008F7AFC">
                  <w:r>
                    <w:t>0</w:t>
                  </w:r>
                </w:p>
              </w:tc>
              <w:tc>
                <w:tcPr>
                  <w:tcW w:w="783" w:type="dxa"/>
                  <w:shd w:val="clear" w:color="auto" w:fill="FF0000"/>
                </w:tcPr>
                <w:p w14:paraId="206A413C" w14:textId="77777777" w:rsidR="007A232F" w:rsidRDefault="00CE50E5" w:rsidP="008F7AFC">
                  <w:r>
                    <w:t>0</w:t>
                  </w:r>
                </w:p>
              </w:tc>
              <w:tc>
                <w:tcPr>
                  <w:tcW w:w="783" w:type="dxa"/>
                  <w:shd w:val="clear" w:color="auto" w:fill="FF0000"/>
                </w:tcPr>
                <w:p w14:paraId="27556B32" w14:textId="77777777" w:rsidR="007A232F" w:rsidRDefault="00CE50E5" w:rsidP="008F7AFC">
                  <w:r>
                    <w:t>0</w:t>
                  </w:r>
                </w:p>
              </w:tc>
              <w:tc>
                <w:tcPr>
                  <w:tcW w:w="783" w:type="dxa"/>
                  <w:shd w:val="clear" w:color="auto" w:fill="FFFF00"/>
                </w:tcPr>
                <w:p w14:paraId="12FE332F" w14:textId="77777777" w:rsidR="007A232F" w:rsidRDefault="009E208F">
                  <w:r>
                    <w:t>430</w:t>
                  </w:r>
                </w:p>
              </w:tc>
              <w:tc>
                <w:tcPr>
                  <w:tcW w:w="783" w:type="dxa"/>
                  <w:shd w:val="clear" w:color="auto" w:fill="FFFF00"/>
                </w:tcPr>
                <w:p w14:paraId="3CFE59A2" w14:textId="77777777" w:rsidR="007A232F" w:rsidRDefault="009E208F">
                  <w:r>
                    <w:t>430</w:t>
                  </w:r>
                </w:p>
              </w:tc>
              <w:tc>
                <w:tcPr>
                  <w:tcW w:w="783" w:type="dxa"/>
                  <w:shd w:val="clear" w:color="auto" w:fill="FFFF00"/>
                </w:tcPr>
                <w:p w14:paraId="04C1613D" w14:textId="77777777" w:rsidR="007A232F" w:rsidRDefault="009E208F">
                  <w:r>
                    <w:t>430</w:t>
                  </w:r>
                </w:p>
              </w:tc>
              <w:tc>
                <w:tcPr>
                  <w:tcW w:w="784" w:type="dxa"/>
                  <w:shd w:val="clear" w:color="auto" w:fill="auto"/>
                </w:tcPr>
                <w:p w14:paraId="09BC1C48" w14:textId="77777777" w:rsidR="007A232F" w:rsidRDefault="007A232F"/>
              </w:tc>
              <w:tc>
                <w:tcPr>
                  <w:tcW w:w="784" w:type="dxa"/>
                  <w:shd w:val="clear" w:color="auto" w:fill="auto"/>
                </w:tcPr>
                <w:p w14:paraId="1095B5B3" w14:textId="77777777" w:rsidR="007A232F" w:rsidRDefault="007A232F"/>
              </w:tc>
              <w:tc>
                <w:tcPr>
                  <w:tcW w:w="784" w:type="dxa"/>
                  <w:shd w:val="clear" w:color="auto" w:fill="auto"/>
                </w:tcPr>
                <w:p w14:paraId="5A6848B3" w14:textId="77777777" w:rsidR="007A232F" w:rsidRDefault="007A232F"/>
              </w:tc>
            </w:tr>
            <w:tr w:rsidR="00BB1B7C" w14:paraId="79639936" w14:textId="77777777" w:rsidTr="00BB1B7C">
              <w:tc>
                <w:tcPr>
                  <w:tcW w:w="783" w:type="dxa"/>
                  <w:shd w:val="clear" w:color="auto" w:fill="auto"/>
                </w:tcPr>
                <w:p w14:paraId="11248C6A" w14:textId="77777777" w:rsidR="00BB1B7C" w:rsidRDefault="00BB1B7C" w:rsidP="008F7AFC"/>
              </w:tc>
              <w:tc>
                <w:tcPr>
                  <w:tcW w:w="783" w:type="dxa"/>
                  <w:shd w:val="clear" w:color="auto" w:fill="auto"/>
                </w:tcPr>
                <w:p w14:paraId="422B6C70" w14:textId="77777777" w:rsidR="00BB1B7C" w:rsidRDefault="00BB1B7C" w:rsidP="008F7AFC"/>
              </w:tc>
              <w:tc>
                <w:tcPr>
                  <w:tcW w:w="783" w:type="dxa"/>
                  <w:shd w:val="clear" w:color="auto" w:fill="auto"/>
                </w:tcPr>
                <w:p w14:paraId="16EBEBCB" w14:textId="77777777" w:rsidR="00BB1B7C" w:rsidRDefault="00BB1B7C" w:rsidP="008F7AFC"/>
              </w:tc>
              <w:tc>
                <w:tcPr>
                  <w:tcW w:w="783" w:type="dxa"/>
                  <w:shd w:val="clear" w:color="auto" w:fill="auto"/>
                </w:tcPr>
                <w:p w14:paraId="73C17BD2" w14:textId="77777777" w:rsidR="00BB1B7C" w:rsidRDefault="00BB1B7C" w:rsidP="008F7AFC"/>
              </w:tc>
              <w:tc>
                <w:tcPr>
                  <w:tcW w:w="783" w:type="dxa"/>
                  <w:shd w:val="clear" w:color="auto" w:fill="auto"/>
                </w:tcPr>
                <w:p w14:paraId="60B82684" w14:textId="77777777" w:rsidR="00BB1B7C" w:rsidRDefault="00BB1B7C" w:rsidP="008F7AFC"/>
              </w:tc>
              <w:tc>
                <w:tcPr>
                  <w:tcW w:w="783" w:type="dxa"/>
                  <w:shd w:val="clear" w:color="auto" w:fill="auto"/>
                </w:tcPr>
                <w:p w14:paraId="13AA8048" w14:textId="77777777" w:rsidR="00BB1B7C" w:rsidRDefault="00BB1B7C" w:rsidP="008F7AFC"/>
              </w:tc>
              <w:tc>
                <w:tcPr>
                  <w:tcW w:w="783" w:type="dxa"/>
                  <w:shd w:val="clear" w:color="auto" w:fill="auto"/>
                </w:tcPr>
                <w:p w14:paraId="0F07F3F8" w14:textId="77777777" w:rsidR="00BB1B7C" w:rsidRDefault="00BB1B7C"/>
              </w:tc>
              <w:tc>
                <w:tcPr>
                  <w:tcW w:w="783" w:type="dxa"/>
                  <w:shd w:val="clear" w:color="auto" w:fill="auto"/>
                </w:tcPr>
                <w:p w14:paraId="3F273235" w14:textId="77777777" w:rsidR="00BB1B7C" w:rsidRDefault="00BB1B7C"/>
              </w:tc>
              <w:tc>
                <w:tcPr>
                  <w:tcW w:w="783" w:type="dxa"/>
                  <w:shd w:val="clear" w:color="auto" w:fill="auto"/>
                </w:tcPr>
                <w:p w14:paraId="5DBDEF2C" w14:textId="77777777" w:rsidR="00BB1B7C" w:rsidRDefault="00BB1B7C"/>
              </w:tc>
              <w:tc>
                <w:tcPr>
                  <w:tcW w:w="784" w:type="dxa"/>
                  <w:shd w:val="clear" w:color="auto" w:fill="auto"/>
                </w:tcPr>
                <w:p w14:paraId="5A8D559B" w14:textId="77777777" w:rsidR="00BB1B7C" w:rsidRDefault="00BB1B7C"/>
              </w:tc>
              <w:tc>
                <w:tcPr>
                  <w:tcW w:w="784" w:type="dxa"/>
                  <w:shd w:val="clear" w:color="auto" w:fill="auto"/>
                </w:tcPr>
                <w:p w14:paraId="7B1A075A" w14:textId="77777777" w:rsidR="00BB1B7C" w:rsidRDefault="00BB1B7C"/>
              </w:tc>
              <w:tc>
                <w:tcPr>
                  <w:tcW w:w="784" w:type="dxa"/>
                  <w:shd w:val="clear" w:color="auto" w:fill="auto"/>
                </w:tcPr>
                <w:p w14:paraId="3099050D" w14:textId="77777777" w:rsidR="00BB1B7C" w:rsidRDefault="00BB1B7C"/>
              </w:tc>
            </w:tr>
            <w:tr w:rsidR="007A232F" w14:paraId="78B0C5B2" w14:textId="77777777" w:rsidTr="007A232F">
              <w:tc>
                <w:tcPr>
                  <w:tcW w:w="783" w:type="dxa"/>
                  <w:shd w:val="clear" w:color="auto" w:fill="auto"/>
                </w:tcPr>
                <w:p w14:paraId="7CF9B67B" w14:textId="77777777" w:rsidR="007A232F" w:rsidRDefault="007A232F" w:rsidP="008F7AFC"/>
              </w:tc>
              <w:tc>
                <w:tcPr>
                  <w:tcW w:w="783" w:type="dxa"/>
                  <w:shd w:val="clear" w:color="auto" w:fill="auto"/>
                </w:tcPr>
                <w:p w14:paraId="12DA9548" w14:textId="77777777" w:rsidR="007A232F" w:rsidRDefault="007A232F" w:rsidP="008F7AFC"/>
              </w:tc>
              <w:tc>
                <w:tcPr>
                  <w:tcW w:w="783" w:type="dxa"/>
                  <w:shd w:val="clear" w:color="auto" w:fill="auto"/>
                </w:tcPr>
                <w:p w14:paraId="669DA3BA" w14:textId="77777777" w:rsidR="007A232F" w:rsidRDefault="007A232F" w:rsidP="008F7AFC"/>
              </w:tc>
              <w:tc>
                <w:tcPr>
                  <w:tcW w:w="783" w:type="dxa"/>
                  <w:shd w:val="clear" w:color="auto" w:fill="auto"/>
                </w:tcPr>
                <w:p w14:paraId="489EF5BB" w14:textId="77777777" w:rsidR="007A232F" w:rsidRDefault="007A232F" w:rsidP="008F7AFC"/>
              </w:tc>
              <w:tc>
                <w:tcPr>
                  <w:tcW w:w="783" w:type="dxa"/>
                  <w:shd w:val="clear" w:color="auto" w:fill="auto"/>
                </w:tcPr>
                <w:p w14:paraId="1545D4A3" w14:textId="77777777" w:rsidR="007A232F" w:rsidRDefault="007A232F" w:rsidP="008F7AFC"/>
              </w:tc>
              <w:tc>
                <w:tcPr>
                  <w:tcW w:w="783" w:type="dxa"/>
                  <w:shd w:val="clear" w:color="auto" w:fill="auto"/>
                </w:tcPr>
                <w:p w14:paraId="32FB328E" w14:textId="77777777" w:rsidR="007A232F" w:rsidRDefault="007A232F" w:rsidP="008F7AFC"/>
              </w:tc>
              <w:tc>
                <w:tcPr>
                  <w:tcW w:w="783" w:type="dxa"/>
                  <w:shd w:val="clear" w:color="auto" w:fill="FFFF00"/>
                </w:tcPr>
                <w:p w14:paraId="69CF340C" w14:textId="77777777" w:rsidR="007A232F" w:rsidRDefault="009E208F">
                  <w:r>
                    <w:t>430</w:t>
                  </w:r>
                </w:p>
              </w:tc>
              <w:tc>
                <w:tcPr>
                  <w:tcW w:w="783" w:type="dxa"/>
                  <w:shd w:val="clear" w:color="auto" w:fill="FFFF00"/>
                </w:tcPr>
                <w:p w14:paraId="4D0C8E9E" w14:textId="77777777" w:rsidR="007A232F" w:rsidRDefault="009E208F">
                  <w:r>
                    <w:t>430</w:t>
                  </w:r>
                </w:p>
              </w:tc>
              <w:tc>
                <w:tcPr>
                  <w:tcW w:w="783" w:type="dxa"/>
                  <w:shd w:val="clear" w:color="auto" w:fill="FFFF00"/>
                </w:tcPr>
                <w:p w14:paraId="75C83091" w14:textId="77777777" w:rsidR="007A232F" w:rsidRDefault="009E208F">
                  <w:r>
                    <w:t>430</w:t>
                  </w:r>
                </w:p>
              </w:tc>
              <w:tc>
                <w:tcPr>
                  <w:tcW w:w="784" w:type="dxa"/>
                  <w:shd w:val="clear" w:color="auto" w:fill="F79646" w:themeFill="accent6"/>
                </w:tcPr>
                <w:p w14:paraId="1BFC1D78" w14:textId="77777777" w:rsidR="007A232F" w:rsidRDefault="009E208F">
                  <w:r>
                    <w:t>715</w:t>
                  </w:r>
                </w:p>
              </w:tc>
              <w:tc>
                <w:tcPr>
                  <w:tcW w:w="784" w:type="dxa"/>
                  <w:shd w:val="clear" w:color="auto" w:fill="F79646" w:themeFill="accent6"/>
                </w:tcPr>
                <w:p w14:paraId="32034290" w14:textId="77777777" w:rsidR="007A232F" w:rsidRDefault="009E208F">
                  <w:r>
                    <w:t>715</w:t>
                  </w:r>
                </w:p>
              </w:tc>
              <w:tc>
                <w:tcPr>
                  <w:tcW w:w="784" w:type="dxa"/>
                  <w:shd w:val="clear" w:color="auto" w:fill="F79646" w:themeFill="accent6"/>
                </w:tcPr>
                <w:p w14:paraId="421D4A1B" w14:textId="77777777" w:rsidR="007A232F" w:rsidRDefault="009E208F">
                  <w:r>
                    <w:t>715</w:t>
                  </w:r>
                </w:p>
              </w:tc>
            </w:tr>
          </w:tbl>
          <w:p w14:paraId="309D4057" w14:textId="77777777" w:rsidR="00746EEB" w:rsidRDefault="00746EEB"/>
          <w:p w14:paraId="1BBA1B0E" w14:textId="30C4A33A" w:rsidR="007244A7" w:rsidRDefault="007244A7" w:rsidP="007244A7">
            <w:pPr>
              <w:jc w:val="center"/>
              <w:rPr>
                <w:b/>
                <w:bCs/>
              </w:rPr>
            </w:pPr>
            <w:r>
              <w:rPr>
                <w:b/>
                <w:bCs/>
              </w:rPr>
              <w:t xml:space="preserve">THE </w:t>
            </w:r>
            <w:r w:rsidR="0036405C">
              <w:rPr>
                <w:b/>
                <w:bCs/>
              </w:rPr>
              <w:t>LONG-TERM</w:t>
            </w:r>
            <w:r>
              <w:rPr>
                <w:b/>
                <w:bCs/>
              </w:rPr>
              <w:t xml:space="preserve"> IMPACT OF COVID-19</w:t>
            </w:r>
          </w:p>
          <w:p w14:paraId="4DACAC92" w14:textId="77777777" w:rsidR="007244A7" w:rsidRDefault="007244A7" w:rsidP="007244A7">
            <w:pPr>
              <w:jc w:val="center"/>
            </w:pPr>
            <w:r>
              <w:rPr>
                <w:b/>
                <w:bCs/>
              </w:rPr>
              <w:t>ON ESTABLISHMENT OF SUPPORT ORDERS</w:t>
            </w:r>
          </w:p>
          <w:p w14:paraId="746537A0" w14:textId="77777777" w:rsidR="007244A7" w:rsidRDefault="007244A7"/>
          <w:p w14:paraId="6A13E61D" w14:textId="77777777" w:rsidR="008031F0" w:rsidRDefault="008031F0" w:rsidP="008031F0">
            <w:pPr>
              <w:rPr>
                <w:rFonts w:ascii="Arial" w:eastAsia="Times New Roman" w:hAnsi="Arial" w:cs="Arial"/>
                <w:color w:val="403F42"/>
                <w:sz w:val="18"/>
                <w:szCs w:val="18"/>
              </w:rPr>
            </w:pPr>
            <w:r>
              <w:t xml:space="preserve">Last month, the Chief Justices of the Supreme Judicial Court, the Appeals Court and the Trial Court issued a letter entitled “Path Forward During the Pandemic” that made it clear even as courthouses reopen in limited stages over the next few months, </w:t>
            </w:r>
            <w:r>
              <w:rPr>
                <w:rFonts w:eastAsia="Times New Roman"/>
                <w:color w:val="403F42"/>
              </w:rPr>
              <w:t>“the days when our Trial Court welcomed approximately 40,000 persons a day into our courthouses are over, at least for the duration of the pandemic.</w:t>
            </w:r>
            <w:r w:rsidR="003C45A2">
              <w:rPr>
                <w:rFonts w:eastAsia="Times New Roman"/>
                <w:color w:val="403F42"/>
              </w:rPr>
              <w:t>”  Most matters will continue to be done virtually whenever possible which mean it will be quite some time before DOR has the ability to schedule large volu</w:t>
            </w:r>
            <w:r w:rsidR="001B28CF">
              <w:rPr>
                <w:rFonts w:eastAsia="Times New Roman"/>
                <w:color w:val="403F42"/>
              </w:rPr>
              <w:t>mes of hearings for DOR blocktime sessions.</w:t>
            </w:r>
            <w:r w:rsidR="003C45A2">
              <w:rPr>
                <w:rFonts w:eastAsia="Times New Roman"/>
                <w:color w:val="403F42"/>
              </w:rPr>
              <w:t xml:space="preserve"> </w:t>
            </w:r>
          </w:p>
          <w:p w14:paraId="186FE371" w14:textId="77777777" w:rsidR="007244A7" w:rsidRDefault="007244A7"/>
          <w:p w14:paraId="17753806" w14:textId="36C14A42" w:rsidR="00776875" w:rsidRDefault="00750E6D">
            <w:r>
              <w:t>Below show</w:t>
            </w:r>
            <w:r w:rsidR="003C45A2">
              <w:t>s</w:t>
            </w:r>
            <w:r>
              <w:t xml:space="preserve"> the impact if blocktime sessions are decr</w:t>
            </w:r>
            <w:r w:rsidR="00776875">
              <w:t xml:space="preserve">eased to 25% of the ISA numbers beginning with </w:t>
            </w:r>
            <w:r w:rsidR="0036405C">
              <w:t>October</w:t>
            </w:r>
            <w:r w:rsidR="00776875">
              <w:t xml:space="preserve"> 2020.  The number of cases that would have been scheduled in October now must be spread over October, November, December and January.  Those </w:t>
            </w:r>
            <w:r w:rsidR="001B28CF">
              <w:t xml:space="preserve">cases </w:t>
            </w:r>
            <w:r w:rsidR="00776875">
              <w:t xml:space="preserve">that used </w:t>
            </w:r>
            <w:r w:rsidR="001B28CF">
              <w:t xml:space="preserve">to </w:t>
            </w:r>
            <w:r w:rsidR="00776875">
              <w:t xml:space="preserve">be scheduled in November are </w:t>
            </w:r>
            <w:r w:rsidR="001B28CF">
              <w:t xml:space="preserve">now </w:t>
            </w:r>
            <w:r w:rsidR="00776875">
              <w:t>scheduled from February through May and December</w:t>
            </w:r>
            <w:r w:rsidR="001B28CF">
              <w:t xml:space="preserve"> cases are moved to </w:t>
            </w:r>
            <w:r w:rsidR="00776875">
              <w:t>June through September</w:t>
            </w:r>
            <w:r w:rsidR="007244A7">
              <w:t xml:space="preserve"> for a total of 8,595 hearings</w:t>
            </w:r>
            <w:r w:rsidR="00776875">
              <w:t>.</w:t>
            </w:r>
            <w:r w:rsidR="007244A7">
              <w:t xml:space="preserve">  Those h</w:t>
            </w:r>
            <w:r w:rsidR="00776875">
              <w:t>earings that would have been scheduled over</w:t>
            </w:r>
            <w:r w:rsidR="001B28CF">
              <w:t xml:space="preserve"> three months, now</w:t>
            </w:r>
            <w:r w:rsidR="00021664">
              <w:t xml:space="preserve"> take up all available schedule</w:t>
            </w:r>
            <w:r w:rsidR="001B28CF">
              <w:t xml:space="preserve"> slots</w:t>
            </w:r>
            <w:r w:rsidR="00776875">
              <w:t xml:space="preserve"> for an entire year, which means that</w:t>
            </w:r>
            <w:r w:rsidR="007244A7">
              <w:t xml:space="preserve"> </w:t>
            </w:r>
            <w:r w:rsidR="001B28CF">
              <w:t xml:space="preserve">DOR does not have the ability to schedule </w:t>
            </w:r>
            <w:r w:rsidR="007244A7">
              <w:t>25,785 cases</w:t>
            </w:r>
            <w:r w:rsidR="00776875">
              <w:t xml:space="preserve"> </w:t>
            </w:r>
            <w:r w:rsidR="007244A7">
              <w:t>(9 mos.</w:t>
            </w:r>
            <w:r w:rsidR="00776875">
              <w:t xml:space="preserve"> </w:t>
            </w:r>
            <w:r w:rsidR="001B28CF">
              <w:t>x 2,865) that would have been scheduled prior to the restrictions resulting from COVID-19.</w:t>
            </w:r>
          </w:p>
          <w:p w14:paraId="06F30D15" w14:textId="77777777" w:rsidR="00776875" w:rsidRDefault="00776875"/>
          <w:tbl>
            <w:tblPr>
              <w:tblStyle w:val="TableGrid"/>
              <w:tblW w:w="0" w:type="auto"/>
              <w:tblLook w:val="04A0" w:firstRow="1" w:lastRow="0" w:firstColumn="1" w:lastColumn="0" w:noHBand="0" w:noVBand="1"/>
            </w:tblPr>
            <w:tblGrid>
              <w:gridCol w:w="783"/>
              <w:gridCol w:w="780"/>
              <w:gridCol w:w="807"/>
              <w:gridCol w:w="778"/>
              <w:gridCol w:w="778"/>
              <w:gridCol w:w="778"/>
              <w:gridCol w:w="778"/>
              <w:gridCol w:w="778"/>
              <w:gridCol w:w="779"/>
              <w:gridCol w:w="779"/>
              <w:gridCol w:w="779"/>
              <w:gridCol w:w="779"/>
            </w:tblGrid>
            <w:tr w:rsidR="00776875" w14:paraId="0CF7C2A3" w14:textId="77777777" w:rsidTr="003C45A2">
              <w:tc>
                <w:tcPr>
                  <w:tcW w:w="783" w:type="dxa"/>
                </w:tcPr>
                <w:p w14:paraId="35499C5F" w14:textId="77777777" w:rsidR="00CC6FD4" w:rsidRDefault="00776875" w:rsidP="008F7AFC">
                  <w:r>
                    <w:t>OCT</w:t>
                  </w:r>
                </w:p>
              </w:tc>
              <w:tc>
                <w:tcPr>
                  <w:tcW w:w="782" w:type="dxa"/>
                </w:tcPr>
                <w:p w14:paraId="6400B5C3" w14:textId="77777777" w:rsidR="00CC6FD4" w:rsidRDefault="00776875" w:rsidP="008F7AFC">
                  <w:r>
                    <w:t>NOV</w:t>
                  </w:r>
                </w:p>
              </w:tc>
              <w:tc>
                <w:tcPr>
                  <w:tcW w:w="807" w:type="dxa"/>
                </w:tcPr>
                <w:p w14:paraId="0A49DE19" w14:textId="77777777" w:rsidR="00CC6FD4" w:rsidRDefault="00776875" w:rsidP="008F7AFC">
                  <w:r>
                    <w:t>DEC</w:t>
                  </w:r>
                </w:p>
              </w:tc>
              <w:tc>
                <w:tcPr>
                  <w:tcW w:w="781" w:type="dxa"/>
                </w:tcPr>
                <w:p w14:paraId="4EDA19E8" w14:textId="77777777" w:rsidR="00CC6FD4" w:rsidRDefault="00776875" w:rsidP="008F7AFC">
                  <w:r>
                    <w:t>JAN</w:t>
                  </w:r>
                </w:p>
              </w:tc>
              <w:tc>
                <w:tcPr>
                  <w:tcW w:w="781" w:type="dxa"/>
                </w:tcPr>
                <w:p w14:paraId="2020B54C" w14:textId="77777777" w:rsidR="00CC6FD4" w:rsidRDefault="00776875" w:rsidP="008F7AFC">
                  <w:r>
                    <w:t>FEB</w:t>
                  </w:r>
                </w:p>
              </w:tc>
              <w:tc>
                <w:tcPr>
                  <w:tcW w:w="781" w:type="dxa"/>
                </w:tcPr>
                <w:p w14:paraId="21D7DA2F" w14:textId="77777777" w:rsidR="00CC6FD4" w:rsidRDefault="00776875" w:rsidP="008F7AFC">
                  <w:r>
                    <w:t>MAR</w:t>
                  </w:r>
                </w:p>
              </w:tc>
              <w:tc>
                <w:tcPr>
                  <w:tcW w:w="781" w:type="dxa"/>
                </w:tcPr>
                <w:p w14:paraId="70DA120A" w14:textId="77777777" w:rsidR="00CC6FD4" w:rsidRDefault="00776875" w:rsidP="008F7AFC">
                  <w:r>
                    <w:t>APR</w:t>
                  </w:r>
                </w:p>
              </w:tc>
              <w:tc>
                <w:tcPr>
                  <w:tcW w:w="781" w:type="dxa"/>
                </w:tcPr>
                <w:p w14:paraId="78F30915" w14:textId="77777777" w:rsidR="00CC6FD4" w:rsidRDefault="00776875" w:rsidP="008F7AFC">
                  <w:r>
                    <w:t>MAY</w:t>
                  </w:r>
                </w:p>
              </w:tc>
              <w:tc>
                <w:tcPr>
                  <w:tcW w:w="781" w:type="dxa"/>
                </w:tcPr>
                <w:p w14:paraId="1EB069C9" w14:textId="77777777" w:rsidR="00CC6FD4" w:rsidRDefault="00776875" w:rsidP="008F7AFC">
                  <w:r>
                    <w:t>JUNE</w:t>
                  </w:r>
                </w:p>
              </w:tc>
              <w:tc>
                <w:tcPr>
                  <w:tcW w:w="782" w:type="dxa"/>
                </w:tcPr>
                <w:p w14:paraId="70D700EF" w14:textId="77777777" w:rsidR="00CC6FD4" w:rsidRDefault="00776875" w:rsidP="008F7AFC">
                  <w:r>
                    <w:t>JULY</w:t>
                  </w:r>
                </w:p>
              </w:tc>
              <w:tc>
                <w:tcPr>
                  <w:tcW w:w="782" w:type="dxa"/>
                </w:tcPr>
                <w:p w14:paraId="034BC484" w14:textId="77777777" w:rsidR="00CC6FD4" w:rsidRDefault="00776875" w:rsidP="008F7AFC">
                  <w:r>
                    <w:t>AUG</w:t>
                  </w:r>
                </w:p>
              </w:tc>
              <w:tc>
                <w:tcPr>
                  <w:tcW w:w="782" w:type="dxa"/>
                </w:tcPr>
                <w:p w14:paraId="0CBEC0D1" w14:textId="77777777" w:rsidR="00CC6FD4" w:rsidRDefault="00776875" w:rsidP="008F7AFC">
                  <w:r>
                    <w:t>SEPT</w:t>
                  </w:r>
                </w:p>
              </w:tc>
            </w:tr>
            <w:tr w:rsidR="00776875" w14:paraId="2E221E8B" w14:textId="77777777" w:rsidTr="003C45A2">
              <w:tc>
                <w:tcPr>
                  <w:tcW w:w="783" w:type="dxa"/>
                </w:tcPr>
                <w:p w14:paraId="17F28DDF" w14:textId="77777777" w:rsidR="00CC6FD4" w:rsidRDefault="00776875" w:rsidP="008F7AFC">
                  <w:r>
                    <w:t>OCT</w:t>
                  </w:r>
                </w:p>
              </w:tc>
              <w:tc>
                <w:tcPr>
                  <w:tcW w:w="782" w:type="dxa"/>
                </w:tcPr>
                <w:p w14:paraId="4F39641A" w14:textId="77777777" w:rsidR="00CC6FD4" w:rsidRDefault="00776875" w:rsidP="008F7AFC">
                  <w:r>
                    <w:t>OCT</w:t>
                  </w:r>
                </w:p>
              </w:tc>
              <w:tc>
                <w:tcPr>
                  <w:tcW w:w="807" w:type="dxa"/>
                </w:tcPr>
                <w:p w14:paraId="67C22650" w14:textId="77777777" w:rsidR="00CC6FD4" w:rsidRDefault="00776875" w:rsidP="008F7AFC">
                  <w:r>
                    <w:t>OCT</w:t>
                  </w:r>
                </w:p>
              </w:tc>
              <w:tc>
                <w:tcPr>
                  <w:tcW w:w="781" w:type="dxa"/>
                </w:tcPr>
                <w:p w14:paraId="1E44C858" w14:textId="77777777" w:rsidR="00CC6FD4" w:rsidRDefault="00776875" w:rsidP="008F7AFC">
                  <w:r>
                    <w:t>OCT</w:t>
                  </w:r>
                </w:p>
              </w:tc>
              <w:tc>
                <w:tcPr>
                  <w:tcW w:w="781" w:type="dxa"/>
                </w:tcPr>
                <w:p w14:paraId="4FC6A66B" w14:textId="77777777" w:rsidR="00CC6FD4" w:rsidRDefault="00776875" w:rsidP="008F7AFC">
                  <w:r>
                    <w:t>NOV</w:t>
                  </w:r>
                </w:p>
              </w:tc>
              <w:tc>
                <w:tcPr>
                  <w:tcW w:w="781" w:type="dxa"/>
                </w:tcPr>
                <w:p w14:paraId="12EB3788" w14:textId="77777777" w:rsidR="00CC6FD4" w:rsidRDefault="00776875" w:rsidP="008F7AFC">
                  <w:r>
                    <w:t>NOV</w:t>
                  </w:r>
                </w:p>
              </w:tc>
              <w:tc>
                <w:tcPr>
                  <w:tcW w:w="781" w:type="dxa"/>
                </w:tcPr>
                <w:p w14:paraId="64BE1C05" w14:textId="77777777" w:rsidR="00CC6FD4" w:rsidRDefault="00776875" w:rsidP="008F7AFC">
                  <w:r>
                    <w:t>NOV</w:t>
                  </w:r>
                </w:p>
              </w:tc>
              <w:tc>
                <w:tcPr>
                  <w:tcW w:w="781" w:type="dxa"/>
                </w:tcPr>
                <w:p w14:paraId="6C45CDD2" w14:textId="77777777" w:rsidR="00CC6FD4" w:rsidRDefault="00776875" w:rsidP="008F7AFC">
                  <w:r>
                    <w:t>NOV</w:t>
                  </w:r>
                </w:p>
              </w:tc>
              <w:tc>
                <w:tcPr>
                  <w:tcW w:w="781" w:type="dxa"/>
                </w:tcPr>
                <w:p w14:paraId="4CF5E19B" w14:textId="77777777" w:rsidR="00CC6FD4" w:rsidRDefault="00776875" w:rsidP="008F7AFC">
                  <w:r>
                    <w:t>DEC</w:t>
                  </w:r>
                </w:p>
              </w:tc>
              <w:tc>
                <w:tcPr>
                  <w:tcW w:w="782" w:type="dxa"/>
                </w:tcPr>
                <w:p w14:paraId="0FDCDBF1" w14:textId="77777777" w:rsidR="00CC6FD4" w:rsidRDefault="00776875" w:rsidP="008F7AFC">
                  <w:r>
                    <w:t>DEC</w:t>
                  </w:r>
                </w:p>
              </w:tc>
              <w:tc>
                <w:tcPr>
                  <w:tcW w:w="782" w:type="dxa"/>
                </w:tcPr>
                <w:p w14:paraId="26EE5DDB" w14:textId="77777777" w:rsidR="00CC6FD4" w:rsidRDefault="00776875" w:rsidP="008F7AFC">
                  <w:r>
                    <w:t>DEC</w:t>
                  </w:r>
                </w:p>
              </w:tc>
              <w:tc>
                <w:tcPr>
                  <w:tcW w:w="782" w:type="dxa"/>
                </w:tcPr>
                <w:p w14:paraId="219361F8" w14:textId="77777777" w:rsidR="00CC6FD4" w:rsidRDefault="00776875" w:rsidP="008F7AFC">
                  <w:r>
                    <w:t>DEC</w:t>
                  </w:r>
                </w:p>
              </w:tc>
            </w:tr>
            <w:tr w:rsidR="00776875" w14:paraId="6E93F1EA" w14:textId="77777777" w:rsidTr="003C45A2">
              <w:tc>
                <w:tcPr>
                  <w:tcW w:w="783" w:type="dxa"/>
                </w:tcPr>
                <w:p w14:paraId="6DFA7DDB" w14:textId="77777777" w:rsidR="00CC6FD4" w:rsidRDefault="00CC6FD4" w:rsidP="008F7AFC"/>
              </w:tc>
              <w:tc>
                <w:tcPr>
                  <w:tcW w:w="782" w:type="dxa"/>
                </w:tcPr>
                <w:p w14:paraId="3DBB1FB6" w14:textId="77777777" w:rsidR="00CC6FD4" w:rsidRDefault="00CC6FD4" w:rsidP="008F7AFC"/>
              </w:tc>
              <w:tc>
                <w:tcPr>
                  <w:tcW w:w="807" w:type="dxa"/>
                </w:tcPr>
                <w:p w14:paraId="4EBC6B59" w14:textId="77777777" w:rsidR="00CC6FD4" w:rsidRDefault="00CC6FD4" w:rsidP="008F7AFC"/>
              </w:tc>
              <w:tc>
                <w:tcPr>
                  <w:tcW w:w="781" w:type="dxa"/>
                </w:tcPr>
                <w:p w14:paraId="2D6F1431" w14:textId="77777777" w:rsidR="00CC6FD4" w:rsidRDefault="00CC6FD4" w:rsidP="008F7AFC"/>
              </w:tc>
              <w:tc>
                <w:tcPr>
                  <w:tcW w:w="781" w:type="dxa"/>
                </w:tcPr>
                <w:p w14:paraId="196673FE" w14:textId="77777777" w:rsidR="00CC6FD4" w:rsidRDefault="00CC6FD4" w:rsidP="008F7AFC"/>
              </w:tc>
              <w:tc>
                <w:tcPr>
                  <w:tcW w:w="781" w:type="dxa"/>
                </w:tcPr>
                <w:p w14:paraId="0A7CA919" w14:textId="77777777" w:rsidR="00CC6FD4" w:rsidRDefault="00CC6FD4" w:rsidP="008F7AFC"/>
              </w:tc>
              <w:tc>
                <w:tcPr>
                  <w:tcW w:w="781" w:type="dxa"/>
                </w:tcPr>
                <w:p w14:paraId="6B6FE50B" w14:textId="77777777" w:rsidR="00CC6FD4" w:rsidRDefault="00CC6FD4" w:rsidP="008F7AFC"/>
              </w:tc>
              <w:tc>
                <w:tcPr>
                  <w:tcW w:w="781" w:type="dxa"/>
                </w:tcPr>
                <w:p w14:paraId="3EB2C358" w14:textId="77777777" w:rsidR="00CC6FD4" w:rsidRDefault="00CC6FD4" w:rsidP="008F7AFC"/>
              </w:tc>
              <w:tc>
                <w:tcPr>
                  <w:tcW w:w="781" w:type="dxa"/>
                </w:tcPr>
                <w:p w14:paraId="6AFCD39E" w14:textId="77777777" w:rsidR="00CC6FD4" w:rsidRDefault="00CC6FD4" w:rsidP="008F7AFC"/>
              </w:tc>
              <w:tc>
                <w:tcPr>
                  <w:tcW w:w="782" w:type="dxa"/>
                </w:tcPr>
                <w:p w14:paraId="004F4DA3" w14:textId="77777777" w:rsidR="00CC6FD4" w:rsidRDefault="00CC6FD4" w:rsidP="008F7AFC"/>
              </w:tc>
              <w:tc>
                <w:tcPr>
                  <w:tcW w:w="782" w:type="dxa"/>
                </w:tcPr>
                <w:p w14:paraId="7D6215CA" w14:textId="77777777" w:rsidR="00CC6FD4" w:rsidRDefault="00CC6FD4" w:rsidP="008F7AFC"/>
              </w:tc>
              <w:tc>
                <w:tcPr>
                  <w:tcW w:w="782" w:type="dxa"/>
                </w:tcPr>
                <w:p w14:paraId="36EAF3B3" w14:textId="77777777" w:rsidR="00CC6FD4" w:rsidRDefault="00CC6FD4" w:rsidP="008F7AFC"/>
              </w:tc>
            </w:tr>
            <w:tr w:rsidR="00750E6D" w14:paraId="3991B64E" w14:textId="77777777" w:rsidTr="003C45A2">
              <w:tc>
                <w:tcPr>
                  <w:tcW w:w="783" w:type="dxa"/>
                  <w:shd w:val="clear" w:color="auto" w:fill="C00000"/>
                </w:tcPr>
                <w:p w14:paraId="3CB4A0AF" w14:textId="77777777" w:rsidR="00CC6FD4" w:rsidRDefault="00750E6D" w:rsidP="0005075C">
                  <w:r>
                    <w:t xml:space="preserve">Cases </w:t>
                  </w:r>
                </w:p>
              </w:tc>
              <w:tc>
                <w:tcPr>
                  <w:tcW w:w="782" w:type="dxa"/>
                  <w:shd w:val="clear" w:color="auto" w:fill="C00000"/>
                </w:tcPr>
                <w:p w14:paraId="78852B05" w14:textId="77777777" w:rsidR="00CC6FD4" w:rsidRDefault="00750E6D" w:rsidP="008F7AFC">
                  <w:r>
                    <w:t>Not</w:t>
                  </w:r>
                </w:p>
              </w:tc>
              <w:tc>
                <w:tcPr>
                  <w:tcW w:w="807" w:type="dxa"/>
                  <w:shd w:val="clear" w:color="auto" w:fill="C00000"/>
                </w:tcPr>
                <w:p w14:paraId="27D049AA" w14:textId="77777777" w:rsidR="00CC6FD4" w:rsidRDefault="00750E6D" w:rsidP="00750E6D">
                  <w:r>
                    <w:t>Sched.</w:t>
                  </w:r>
                </w:p>
              </w:tc>
              <w:tc>
                <w:tcPr>
                  <w:tcW w:w="781" w:type="dxa"/>
                </w:tcPr>
                <w:p w14:paraId="7CA6D97E" w14:textId="77777777" w:rsidR="00CC6FD4" w:rsidRPr="00123A37" w:rsidRDefault="00776875" w:rsidP="008F7AFC">
                  <w:pPr>
                    <w:rPr>
                      <w:color w:val="FF0000"/>
                    </w:rPr>
                  </w:pPr>
                  <w:r w:rsidRPr="00123A37">
                    <w:rPr>
                      <w:color w:val="FF0000"/>
                    </w:rPr>
                    <w:t>JAN</w:t>
                  </w:r>
                </w:p>
              </w:tc>
              <w:tc>
                <w:tcPr>
                  <w:tcW w:w="781" w:type="dxa"/>
                </w:tcPr>
                <w:p w14:paraId="27F2B5B4" w14:textId="77777777" w:rsidR="00CC6FD4" w:rsidRPr="00123A37" w:rsidRDefault="00776875" w:rsidP="008F7AFC">
                  <w:pPr>
                    <w:rPr>
                      <w:color w:val="FF0000"/>
                    </w:rPr>
                  </w:pPr>
                  <w:r w:rsidRPr="00123A37">
                    <w:rPr>
                      <w:color w:val="FF0000"/>
                    </w:rPr>
                    <w:t>FEB</w:t>
                  </w:r>
                </w:p>
              </w:tc>
              <w:tc>
                <w:tcPr>
                  <w:tcW w:w="781" w:type="dxa"/>
                </w:tcPr>
                <w:p w14:paraId="253188D8" w14:textId="77777777" w:rsidR="00CC6FD4" w:rsidRPr="00123A37" w:rsidRDefault="00776875" w:rsidP="008F7AFC">
                  <w:pPr>
                    <w:rPr>
                      <w:color w:val="FF0000"/>
                    </w:rPr>
                  </w:pPr>
                  <w:r w:rsidRPr="00123A37">
                    <w:rPr>
                      <w:color w:val="FF0000"/>
                    </w:rPr>
                    <w:t>MAR</w:t>
                  </w:r>
                </w:p>
              </w:tc>
              <w:tc>
                <w:tcPr>
                  <w:tcW w:w="781" w:type="dxa"/>
                </w:tcPr>
                <w:p w14:paraId="785B80C3" w14:textId="77777777" w:rsidR="00CC6FD4" w:rsidRPr="00123A37" w:rsidRDefault="00776875" w:rsidP="008F7AFC">
                  <w:pPr>
                    <w:rPr>
                      <w:color w:val="FF0000"/>
                    </w:rPr>
                  </w:pPr>
                  <w:r w:rsidRPr="00123A37">
                    <w:rPr>
                      <w:color w:val="FF0000"/>
                    </w:rPr>
                    <w:t>APR</w:t>
                  </w:r>
                </w:p>
              </w:tc>
              <w:tc>
                <w:tcPr>
                  <w:tcW w:w="781" w:type="dxa"/>
                </w:tcPr>
                <w:p w14:paraId="69679ED1" w14:textId="77777777" w:rsidR="00CC6FD4" w:rsidRPr="00123A37" w:rsidRDefault="00776875" w:rsidP="008F7AFC">
                  <w:pPr>
                    <w:rPr>
                      <w:color w:val="FF0000"/>
                    </w:rPr>
                  </w:pPr>
                  <w:r w:rsidRPr="00123A37">
                    <w:rPr>
                      <w:color w:val="FF0000"/>
                    </w:rPr>
                    <w:t>MAY</w:t>
                  </w:r>
                </w:p>
              </w:tc>
              <w:tc>
                <w:tcPr>
                  <w:tcW w:w="781" w:type="dxa"/>
                </w:tcPr>
                <w:p w14:paraId="47449A02" w14:textId="77777777" w:rsidR="00CC6FD4" w:rsidRPr="00123A37" w:rsidRDefault="00776875" w:rsidP="008F7AFC">
                  <w:pPr>
                    <w:rPr>
                      <w:color w:val="FF0000"/>
                    </w:rPr>
                  </w:pPr>
                  <w:r w:rsidRPr="00123A37">
                    <w:rPr>
                      <w:color w:val="FF0000"/>
                    </w:rPr>
                    <w:t>JUNE</w:t>
                  </w:r>
                </w:p>
              </w:tc>
              <w:tc>
                <w:tcPr>
                  <w:tcW w:w="782" w:type="dxa"/>
                </w:tcPr>
                <w:p w14:paraId="2DD50FA7" w14:textId="77777777" w:rsidR="00CC6FD4" w:rsidRPr="00123A37" w:rsidRDefault="00776875" w:rsidP="008F7AFC">
                  <w:pPr>
                    <w:rPr>
                      <w:color w:val="FF0000"/>
                    </w:rPr>
                  </w:pPr>
                  <w:r w:rsidRPr="00123A37">
                    <w:rPr>
                      <w:color w:val="FF0000"/>
                    </w:rPr>
                    <w:t>JULY</w:t>
                  </w:r>
                </w:p>
              </w:tc>
              <w:tc>
                <w:tcPr>
                  <w:tcW w:w="782" w:type="dxa"/>
                </w:tcPr>
                <w:p w14:paraId="61C633BC" w14:textId="77777777" w:rsidR="00CC6FD4" w:rsidRPr="00123A37" w:rsidRDefault="00776875" w:rsidP="008F7AFC">
                  <w:pPr>
                    <w:rPr>
                      <w:color w:val="FF0000"/>
                    </w:rPr>
                  </w:pPr>
                  <w:r w:rsidRPr="00123A37">
                    <w:rPr>
                      <w:color w:val="FF0000"/>
                    </w:rPr>
                    <w:t>AUG</w:t>
                  </w:r>
                </w:p>
              </w:tc>
              <w:tc>
                <w:tcPr>
                  <w:tcW w:w="782" w:type="dxa"/>
                </w:tcPr>
                <w:p w14:paraId="0BBBAABC" w14:textId="77777777" w:rsidR="00CC6FD4" w:rsidRPr="00123A37" w:rsidRDefault="00776875" w:rsidP="008F7AFC">
                  <w:pPr>
                    <w:rPr>
                      <w:color w:val="FF0000"/>
                    </w:rPr>
                  </w:pPr>
                  <w:r w:rsidRPr="00123A37">
                    <w:rPr>
                      <w:color w:val="FF0000"/>
                    </w:rPr>
                    <w:t>SEPT</w:t>
                  </w:r>
                </w:p>
              </w:tc>
            </w:tr>
            <w:tr w:rsidR="00776875" w14:paraId="20E1FBA7" w14:textId="77777777" w:rsidTr="003C45A2">
              <w:tc>
                <w:tcPr>
                  <w:tcW w:w="783" w:type="dxa"/>
                </w:tcPr>
                <w:p w14:paraId="260B972B" w14:textId="77777777" w:rsidR="00CC6FD4" w:rsidRDefault="00CC6FD4" w:rsidP="008F7AFC"/>
              </w:tc>
              <w:tc>
                <w:tcPr>
                  <w:tcW w:w="782" w:type="dxa"/>
                </w:tcPr>
                <w:p w14:paraId="25B31561" w14:textId="77777777" w:rsidR="00CC6FD4" w:rsidRDefault="00CC6FD4" w:rsidP="008F7AFC"/>
              </w:tc>
              <w:tc>
                <w:tcPr>
                  <w:tcW w:w="807" w:type="dxa"/>
                </w:tcPr>
                <w:p w14:paraId="6247EC06" w14:textId="77777777" w:rsidR="00CC6FD4" w:rsidRDefault="00CC6FD4" w:rsidP="008F7AFC"/>
              </w:tc>
              <w:tc>
                <w:tcPr>
                  <w:tcW w:w="781" w:type="dxa"/>
                </w:tcPr>
                <w:p w14:paraId="7C368E73" w14:textId="77777777" w:rsidR="00CC6FD4" w:rsidRPr="00123A37" w:rsidRDefault="0005075C" w:rsidP="008F7AFC">
                  <w:pPr>
                    <w:rPr>
                      <w:color w:val="FF0000"/>
                    </w:rPr>
                  </w:pPr>
                  <w:r w:rsidRPr="00123A37">
                    <w:rPr>
                      <w:color w:val="FF0000"/>
                    </w:rPr>
                    <w:t>2865</w:t>
                  </w:r>
                </w:p>
              </w:tc>
              <w:tc>
                <w:tcPr>
                  <w:tcW w:w="781" w:type="dxa"/>
                </w:tcPr>
                <w:p w14:paraId="5403BDAC" w14:textId="77777777" w:rsidR="00CC6FD4" w:rsidRPr="00123A37" w:rsidRDefault="00750E6D" w:rsidP="008F7AFC">
                  <w:pPr>
                    <w:rPr>
                      <w:color w:val="FF0000"/>
                    </w:rPr>
                  </w:pPr>
                  <w:r w:rsidRPr="00123A37">
                    <w:rPr>
                      <w:color w:val="FF0000"/>
                    </w:rPr>
                    <w:t>2865</w:t>
                  </w:r>
                </w:p>
              </w:tc>
              <w:tc>
                <w:tcPr>
                  <w:tcW w:w="781" w:type="dxa"/>
                </w:tcPr>
                <w:p w14:paraId="2E905EE7" w14:textId="77777777" w:rsidR="00CC6FD4" w:rsidRPr="00123A37" w:rsidRDefault="00750E6D" w:rsidP="008F7AFC">
                  <w:pPr>
                    <w:rPr>
                      <w:color w:val="FF0000"/>
                    </w:rPr>
                  </w:pPr>
                  <w:r w:rsidRPr="00123A37">
                    <w:rPr>
                      <w:color w:val="FF0000"/>
                    </w:rPr>
                    <w:t>2865</w:t>
                  </w:r>
                </w:p>
              </w:tc>
              <w:tc>
                <w:tcPr>
                  <w:tcW w:w="781" w:type="dxa"/>
                </w:tcPr>
                <w:p w14:paraId="7395A193" w14:textId="77777777" w:rsidR="00CC6FD4" w:rsidRPr="00123A37" w:rsidRDefault="00750E6D" w:rsidP="008F7AFC">
                  <w:pPr>
                    <w:rPr>
                      <w:color w:val="FF0000"/>
                    </w:rPr>
                  </w:pPr>
                  <w:r w:rsidRPr="00123A37">
                    <w:rPr>
                      <w:color w:val="FF0000"/>
                    </w:rPr>
                    <w:t>2865</w:t>
                  </w:r>
                </w:p>
              </w:tc>
              <w:tc>
                <w:tcPr>
                  <w:tcW w:w="781" w:type="dxa"/>
                </w:tcPr>
                <w:p w14:paraId="4E64868D" w14:textId="77777777" w:rsidR="00CC6FD4" w:rsidRPr="00123A37" w:rsidRDefault="00750E6D" w:rsidP="008F7AFC">
                  <w:pPr>
                    <w:rPr>
                      <w:color w:val="FF0000"/>
                    </w:rPr>
                  </w:pPr>
                  <w:r w:rsidRPr="00123A37">
                    <w:rPr>
                      <w:color w:val="FF0000"/>
                    </w:rPr>
                    <w:t>2865</w:t>
                  </w:r>
                </w:p>
              </w:tc>
              <w:tc>
                <w:tcPr>
                  <w:tcW w:w="781" w:type="dxa"/>
                </w:tcPr>
                <w:p w14:paraId="018ABCB2" w14:textId="77777777" w:rsidR="00CC6FD4" w:rsidRPr="00123A37" w:rsidRDefault="00750E6D" w:rsidP="008F7AFC">
                  <w:pPr>
                    <w:rPr>
                      <w:color w:val="FF0000"/>
                    </w:rPr>
                  </w:pPr>
                  <w:r w:rsidRPr="00123A37">
                    <w:rPr>
                      <w:color w:val="FF0000"/>
                    </w:rPr>
                    <w:t>2865</w:t>
                  </w:r>
                </w:p>
              </w:tc>
              <w:tc>
                <w:tcPr>
                  <w:tcW w:w="782" w:type="dxa"/>
                </w:tcPr>
                <w:p w14:paraId="4275BA9A" w14:textId="77777777" w:rsidR="00CC6FD4" w:rsidRPr="00123A37" w:rsidRDefault="00750E6D" w:rsidP="008F7AFC">
                  <w:pPr>
                    <w:rPr>
                      <w:color w:val="FF0000"/>
                    </w:rPr>
                  </w:pPr>
                  <w:r w:rsidRPr="00123A37">
                    <w:rPr>
                      <w:color w:val="FF0000"/>
                    </w:rPr>
                    <w:t>2865</w:t>
                  </w:r>
                </w:p>
              </w:tc>
              <w:tc>
                <w:tcPr>
                  <w:tcW w:w="782" w:type="dxa"/>
                </w:tcPr>
                <w:p w14:paraId="398479CB" w14:textId="77777777" w:rsidR="00CC6FD4" w:rsidRPr="00123A37" w:rsidRDefault="00750E6D" w:rsidP="008F7AFC">
                  <w:pPr>
                    <w:rPr>
                      <w:color w:val="FF0000"/>
                    </w:rPr>
                  </w:pPr>
                  <w:r w:rsidRPr="00123A37">
                    <w:rPr>
                      <w:color w:val="FF0000"/>
                    </w:rPr>
                    <w:t>2865</w:t>
                  </w:r>
                </w:p>
              </w:tc>
              <w:tc>
                <w:tcPr>
                  <w:tcW w:w="782" w:type="dxa"/>
                </w:tcPr>
                <w:p w14:paraId="2A412981" w14:textId="77777777" w:rsidR="00CC6FD4" w:rsidRPr="00123A37" w:rsidRDefault="00750E6D" w:rsidP="008F7AFC">
                  <w:pPr>
                    <w:rPr>
                      <w:color w:val="FF0000"/>
                    </w:rPr>
                  </w:pPr>
                  <w:r w:rsidRPr="00123A37">
                    <w:rPr>
                      <w:color w:val="FF0000"/>
                    </w:rPr>
                    <w:t>2865</w:t>
                  </w:r>
                </w:p>
              </w:tc>
            </w:tr>
          </w:tbl>
          <w:p w14:paraId="187FFB94" w14:textId="77777777" w:rsidR="003C45A2" w:rsidRDefault="003C45A2"/>
          <w:p w14:paraId="00E3224E" w14:textId="77777777" w:rsidR="00B415FD" w:rsidRDefault="00B415FD">
            <w:r>
              <w:t xml:space="preserve">While </w:t>
            </w:r>
            <w:r w:rsidR="003C45A2">
              <w:t>DOR</w:t>
            </w:r>
            <w:r>
              <w:t xml:space="preserve"> acknowledges that it</w:t>
            </w:r>
            <w:r w:rsidR="003C45A2">
              <w:t xml:space="preserve"> is requesting a significant modification to the timeframes </w:t>
            </w:r>
            <w:r>
              <w:t>relating to order establishment, we are also working very hard to try to minimize the</w:t>
            </w:r>
            <w:r w:rsidR="003C45A2">
              <w:t xml:space="preserve"> dev</w:t>
            </w:r>
            <w:r>
              <w:t xml:space="preserve">astating impact set out above.  </w:t>
            </w:r>
          </w:p>
          <w:p w14:paraId="24A7AD08" w14:textId="77777777" w:rsidR="00B415FD" w:rsidRDefault="00B415FD"/>
          <w:p w14:paraId="4FA5C334" w14:textId="08519FE2" w:rsidR="00021664" w:rsidRDefault="00B415FD" w:rsidP="00021664">
            <w:r w:rsidRPr="00B415FD">
              <w:t xml:space="preserve">DOR is exploring ways to bring legal actions to resolution through the use of quasi-judicial resources (“hearing officers”) who </w:t>
            </w:r>
            <w:r w:rsidR="0036405C" w:rsidRPr="00B415FD">
              <w:t>may be</w:t>
            </w:r>
            <w:r w:rsidRPr="00B415FD">
              <w:t xml:space="preserve"> able to handle a portion of the DOR caseload that would otherwise be assigned for a judicial hearing.  DOR is also exploring options to implement DOR “negotiation sessions” that would allow DOR team members to conference cases to point of support agreement/stipulation and present the agreements to the appropriate Proba</w:t>
            </w:r>
            <w:r w:rsidR="00021664">
              <w:t>te and Family Court for approval</w:t>
            </w:r>
            <w:r w:rsidRPr="00B415FD">
              <w:t>.  While DOR is in the early stages of exploring these alternatives with the Court, we remain hopeful that these</w:t>
            </w:r>
            <w:r w:rsidR="00021664">
              <w:t xml:space="preserve"> and other</w:t>
            </w:r>
            <w:r w:rsidRPr="00B415FD">
              <w:t xml:space="preserve"> processes, if approved for us</w:t>
            </w:r>
            <w:r w:rsidR="00021664">
              <w:t>e</w:t>
            </w:r>
            <w:r w:rsidRPr="00B415FD">
              <w:t xml:space="preserve">, will provide DOR with additional options to bring child support matters to resolution without the need for a formal court hearing. </w:t>
            </w:r>
          </w:p>
          <w:p w14:paraId="253E892E" w14:textId="77777777" w:rsidR="00746EEB" w:rsidRDefault="00B415FD" w:rsidP="00021664">
            <w:r w:rsidRPr="00B415FD">
              <w:t xml:space="preserve"> </w:t>
            </w:r>
          </w:p>
        </w:tc>
      </w:tr>
    </w:tbl>
    <w:p w14:paraId="7F227101" w14:textId="77777777" w:rsidR="00460AB1" w:rsidRDefault="00460AB1"/>
    <w:tbl>
      <w:tblPr>
        <w:tblStyle w:val="TableGrid"/>
        <w:tblW w:w="0" w:type="auto"/>
        <w:tblInd w:w="-252" w:type="dxa"/>
        <w:tblLook w:val="04A0" w:firstRow="1" w:lastRow="0" w:firstColumn="1" w:lastColumn="0" w:noHBand="0" w:noVBand="1"/>
      </w:tblPr>
      <w:tblGrid>
        <w:gridCol w:w="9602"/>
      </w:tblGrid>
      <w:tr w:rsidR="002E5C37" w14:paraId="245CB61D" w14:textId="77777777" w:rsidTr="00E44F50">
        <w:tc>
          <w:tcPr>
            <w:tcW w:w="9630" w:type="dxa"/>
          </w:tcPr>
          <w:p w14:paraId="077220F3" w14:textId="39E9617B" w:rsidR="002E5C37" w:rsidRDefault="002E5C37" w:rsidP="00E44F50">
            <w:pPr>
              <w:jc w:val="center"/>
              <w:rPr>
                <w:b/>
                <w:sz w:val="24"/>
                <w:szCs w:val="24"/>
              </w:rPr>
            </w:pPr>
            <w:r>
              <w:rPr>
                <w:b/>
                <w:sz w:val="24"/>
                <w:szCs w:val="24"/>
              </w:rPr>
              <w:t xml:space="preserve">REQUEST FOR MODIFICATION OF </w:t>
            </w:r>
            <w:r w:rsidR="00060123">
              <w:rPr>
                <w:b/>
                <w:sz w:val="24"/>
                <w:szCs w:val="24"/>
              </w:rPr>
              <w:t xml:space="preserve">PROGRAM </w:t>
            </w:r>
            <w:r>
              <w:rPr>
                <w:b/>
                <w:sz w:val="24"/>
                <w:szCs w:val="24"/>
              </w:rPr>
              <w:t>TIMEFRAMES</w:t>
            </w:r>
          </w:p>
          <w:p w14:paraId="40C6C412" w14:textId="6BBA06F7" w:rsidR="002E5C37" w:rsidRPr="002E5C37" w:rsidRDefault="002E5C37" w:rsidP="002E5C37">
            <w:pPr>
              <w:jc w:val="center"/>
              <w:rPr>
                <w:b/>
                <w:sz w:val="24"/>
                <w:szCs w:val="24"/>
              </w:rPr>
            </w:pPr>
            <w:r>
              <w:rPr>
                <w:b/>
                <w:sz w:val="24"/>
                <w:szCs w:val="24"/>
              </w:rPr>
              <w:t>NOTICING REQUIREMENTS</w:t>
            </w:r>
          </w:p>
        </w:tc>
      </w:tr>
      <w:tr w:rsidR="002E5C37" w14:paraId="1F431645" w14:textId="77777777" w:rsidTr="00E44F50">
        <w:tc>
          <w:tcPr>
            <w:tcW w:w="9630" w:type="dxa"/>
          </w:tcPr>
          <w:p w14:paraId="13C34CA1" w14:textId="77777777" w:rsidR="002E5C37" w:rsidRDefault="002E5C37" w:rsidP="00E44F50"/>
          <w:p w14:paraId="465F8B03" w14:textId="502C2204" w:rsidR="002E5C37" w:rsidRDefault="002E5C37" w:rsidP="00E44F50">
            <w:r>
              <w:t xml:space="preserve">The Massachusetts Information and Technology Center (MITC) located in Chelsea, MA handles DOR’s central printing and mailing of all COMETS HD generated forms.  In April, DOR was notified of the possible emergency shut-down of MITC for 2 weeks due to a COVID-19 issue.  The possible emergency </w:t>
            </w:r>
            <w:r w:rsidR="0036405C">
              <w:t>shutdown</w:t>
            </w:r>
            <w:r>
              <w:t xml:space="preserve"> also impacted our disaster recovery option.  While the emergency shut-down was avoided, it required DOR to assess the impact a closure would have on our business and to develop a plan should a shut-down be required in the future.</w:t>
            </w:r>
          </w:p>
          <w:p w14:paraId="5A64D9B7" w14:textId="77777777" w:rsidR="002E5C37" w:rsidRDefault="002E5C37" w:rsidP="00E44F50"/>
          <w:p w14:paraId="6A012356" w14:textId="52B0F4B8" w:rsidR="002E5C37" w:rsidRDefault="002E5C37" w:rsidP="00E44F50">
            <w:r>
              <w:t xml:space="preserve">DOR has prioritized the printing/mailing done at MITC, taking into consideration the importance of the document, the volume and the impact of any delay.  For any printing deemed mission critical, DOR </w:t>
            </w:r>
            <w:r>
              <w:lastRenderedPageBreak/>
              <w:t xml:space="preserve">established a plan to ensure these continue to the fullest extent possible.  These include printing and mailing of child support payment checks (the number one priority), income withholding orders, annual notices that trigger automated enforcement and initial welcome letters when IV-D services begin.  Where timeframes are triggered by optional activities (e.g. case closing – not required to close but required to send </w:t>
            </w:r>
            <w:r w:rsidR="0036405C">
              <w:t>60-day</w:t>
            </w:r>
            <w:r>
              <w:t xml:space="preserve"> letter before closing), DOR will refrain from taking the action until able to print the forms.  DOR will delay printing of forms which serve to give notice of some action but do not have a substantive impact (e.g. The notice of continuing services under 45 C.F.R. § 302.33(a)(4) gives the parent the option of terminating services; DOR must continue to provide services).</w:t>
            </w:r>
          </w:p>
          <w:p w14:paraId="48B57C9F" w14:textId="77777777" w:rsidR="002E5C37" w:rsidRDefault="002E5C37" w:rsidP="00E44F50"/>
          <w:p w14:paraId="757ACC8E" w14:textId="0051179A" w:rsidR="002E5C37" w:rsidRDefault="002E5C37" w:rsidP="00E44F50">
            <w:r>
              <w:t xml:space="preserve">While DOR has taken steps to minimize the negative impact on any MITC </w:t>
            </w:r>
            <w:r w:rsidR="0036405C">
              <w:t>shutdown</w:t>
            </w:r>
            <w:r>
              <w:t xml:space="preserve">, it is impossible to replicate </w:t>
            </w:r>
            <w:r w:rsidR="0036405C">
              <w:t>all</w:t>
            </w:r>
            <w:r>
              <w:t xml:space="preserve"> the work done at MITC.  It is inevitable that DOR will fail to meet some of the required timeframes in the event of a shutdown.  DOR asks OCSE to give approval of the following timeframe modifications set out below.  </w:t>
            </w:r>
          </w:p>
          <w:p w14:paraId="030659E7" w14:textId="77777777" w:rsidR="002E5C37" w:rsidRDefault="002E5C37" w:rsidP="00E44F50"/>
          <w:tbl>
            <w:tblPr>
              <w:tblStyle w:val="TableGrid"/>
              <w:tblW w:w="0" w:type="auto"/>
              <w:tblInd w:w="67" w:type="dxa"/>
              <w:shd w:val="clear" w:color="auto" w:fill="E5DFEC" w:themeFill="accent4" w:themeFillTint="33"/>
              <w:tblLook w:val="04A0" w:firstRow="1" w:lastRow="0" w:firstColumn="1" w:lastColumn="0" w:noHBand="0" w:noVBand="1"/>
            </w:tblPr>
            <w:tblGrid>
              <w:gridCol w:w="4500"/>
              <w:gridCol w:w="2790"/>
              <w:gridCol w:w="1980"/>
            </w:tblGrid>
            <w:tr w:rsidR="002E5C37" w14:paraId="14C1C868" w14:textId="77777777" w:rsidTr="00E44F50">
              <w:tc>
                <w:tcPr>
                  <w:tcW w:w="4500" w:type="dxa"/>
                  <w:shd w:val="clear" w:color="auto" w:fill="E5DFEC" w:themeFill="accent4" w:themeFillTint="33"/>
                </w:tcPr>
                <w:p w14:paraId="25B39F34" w14:textId="77777777" w:rsidR="002E5C37" w:rsidRPr="00D24F72" w:rsidRDefault="002E5C37" w:rsidP="00E44F50">
                  <w:pPr>
                    <w:rPr>
                      <w:b/>
                    </w:rPr>
                  </w:pPr>
                  <w:r w:rsidRPr="00D24F72">
                    <w:rPr>
                      <w:b/>
                    </w:rPr>
                    <w:t>CRITERIA  DESCRIPTION (w/citations)</w:t>
                  </w:r>
                </w:p>
              </w:tc>
              <w:tc>
                <w:tcPr>
                  <w:tcW w:w="2790" w:type="dxa"/>
                  <w:shd w:val="clear" w:color="auto" w:fill="E5DFEC" w:themeFill="accent4" w:themeFillTint="33"/>
                </w:tcPr>
                <w:p w14:paraId="76EF4EC7" w14:textId="77777777" w:rsidR="002E5C37" w:rsidRPr="00D24F72" w:rsidRDefault="002E5C37" w:rsidP="00E44F50">
                  <w:pPr>
                    <w:rPr>
                      <w:b/>
                    </w:rPr>
                  </w:pPr>
                  <w:r w:rsidRPr="00D24F72">
                    <w:rPr>
                      <w:b/>
                    </w:rPr>
                    <w:t>CURRENT REQUIREMENT</w:t>
                  </w:r>
                </w:p>
              </w:tc>
              <w:tc>
                <w:tcPr>
                  <w:tcW w:w="1980" w:type="dxa"/>
                  <w:shd w:val="clear" w:color="auto" w:fill="E5DFEC" w:themeFill="accent4" w:themeFillTint="33"/>
                </w:tcPr>
                <w:p w14:paraId="55AE24AC" w14:textId="77777777" w:rsidR="002E5C37" w:rsidRPr="00D24F72" w:rsidRDefault="002E5C37" w:rsidP="00E44F50">
                  <w:pPr>
                    <w:rPr>
                      <w:b/>
                    </w:rPr>
                  </w:pPr>
                  <w:r w:rsidRPr="00D24F72">
                    <w:rPr>
                      <w:b/>
                    </w:rPr>
                    <w:t>MODIFICATION REQUEST</w:t>
                  </w:r>
                </w:p>
              </w:tc>
            </w:tr>
            <w:tr w:rsidR="002E5C37" w14:paraId="5D685C59" w14:textId="77777777" w:rsidTr="00E44F50">
              <w:tc>
                <w:tcPr>
                  <w:tcW w:w="4500" w:type="dxa"/>
                  <w:shd w:val="clear" w:color="auto" w:fill="E5DFEC" w:themeFill="accent4" w:themeFillTint="33"/>
                </w:tcPr>
                <w:p w14:paraId="6932032A" w14:textId="77777777" w:rsidR="002E5C37" w:rsidRPr="00B441FA" w:rsidRDefault="002E5C37" w:rsidP="00E44F50">
                  <w:pPr>
                    <w:rPr>
                      <w:i/>
                    </w:rPr>
                  </w:pPr>
                  <w:r w:rsidRPr="00B441FA">
                    <w:rPr>
                      <w:i/>
                    </w:rPr>
                    <w:t>Disbursement of Support Payments</w:t>
                  </w:r>
                </w:p>
                <w:p w14:paraId="3EB043BD" w14:textId="77777777" w:rsidR="002E5C37" w:rsidRPr="00B441FA" w:rsidRDefault="002E5C37" w:rsidP="00E44F50">
                  <w:pPr>
                    <w:rPr>
                      <w:i/>
                      <w:sz w:val="20"/>
                      <w:szCs w:val="20"/>
                    </w:rPr>
                  </w:pPr>
                  <w:r w:rsidRPr="00B441FA">
                    <w:rPr>
                      <w:i/>
                      <w:sz w:val="20"/>
                      <w:szCs w:val="20"/>
                    </w:rPr>
                    <w:t>45 C.F.R. § 302.32(b)</w:t>
                  </w:r>
                </w:p>
                <w:p w14:paraId="0B238F91" w14:textId="77777777" w:rsidR="002E5C37" w:rsidRPr="00B441FA" w:rsidRDefault="002E5C37" w:rsidP="00E44F50">
                  <w:pPr>
                    <w:rPr>
                      <w:i/>
                    </w:rPr>
                  </w:pPr>
                </w:p>
              </w:tc>
              <w:tc>
                <w:tcPr>
                  <w:tcW w:w="2790" w:type="dxa"/>
                  <w:shd w:val="clear" w:color="auto" w:fill="E5DFEC" w:themeFill="accent4" w:themeFillTint="33"/>
                </w:tcPr>
                <w:p w14:paraId="6E476259" w14:textId="77777777" w:rsidR="002E5C37" w:rsidRPr="00B441FA" w:rsidRDefault="002E5C37" w:rsidP="00E44F50">
                  <w:pPr>
                    <w:rPr>
                      <w:i/>
                    </w:rPr>
                  </w:pPr>
                  <w:r w:rsidRPr="00B441FA">
                    <w:rPr>
                      <w:i/>
                    </w:rPr>
                    <w:t xml:space="preserve">Within 2 business days of SDU receipt of payment </w:t>
                  </w:r>
                </w:p>
                <w:p w14:paraId="4394E4C5" w14:textId="77777777" w:rsidR="002E5C37" w:rsidRPr="00B441FA" w:rsidRDefault="002E5C37" w:rsidP="00E44F50">
                  <w:pPr>
                    <w:rPr>
                      <w:i/>
                    </w:rPr>
                  </w:pPr>
                </w:p>
              </w:tc>
              <w:tc>
                <w:tcPr>
                  <w:tcW w:w="1980" w:type="dxa"/>
                  <w:shd w:val="clear" w:color="auto" w:fill="E5DFEC" w:themeFill="accent4" w:themeFillTint="33"/>
                </w:tcPr>
                <w:p w14:paraId="42193DE5" w14:textId="77777777" w:rsidR="002E5C37" w:rsidRPr="00B441FA" w:rsidRDefault="002E5C37" w:rsidP="00E44F50">
                  <w:pPr>
                    <w:rPr>
                      <w:i/>
                    </w:rPr>
                  </w:pPr>
                  <w:r w:rsidRPr="00B441FA">
                    <w:rPr>
                      <w:i/>
                    </w:rPr>
                    <w:t xml:space="preserve">4 business days </w:t>
                  </w:r>
                </w:p>
              </w:tc>
            </w:tr>
            <w:tr w:rsidR="002E5C37" w:rsidRPr="00B441FA" w14:paraId="0D399012" w14:textId="77777777" w:rsidTr="00E44F50">
              <w:tc>
                <w:tcPr>
                  <w:tcW w:w="4500" w:type="dxa"/>
                  <w:shd w:val="clear" w:color="auto" w:fill="E5DFEC" w:themeFill="accent4" w:themeFillTint="33"/>
                </w:tcPr>
                <w:p w14:paraId="07AB9A3A" w14:textId="77777777" w:rsidR="002E5C37" w:rsidRPr="00B441FA" w:rsidRDefault="002E5C37" w:rsidP="00E44F50">
                  <w:pPr>
                    <w:rPr>
                      <w:i/>
                    </w:rPr>
                  </w:pPr>
                  <w:r w:rsidRPr="00B441FA">
                    <w:rPr>
                      <w:i/>
                    </w:rPr>
                    <w:t>Issuing IWO notices</w:t>
                  </w:r>
                </w:p>
                <w:p w14:paraId="5D485904" w14:textId="77777777" w:rsidR="002E5C37" w:rsidRPr="00B441FA" w:rsidRDefault="002E5C37" w:rsidP="00E44F50">
                  <w:pPr>
                    <w:rPr>
                      <w:i/>
                    </w:rPr>
                  </w:pPr>
                  <w:r w:rsidRPr="00B441FA">
                    <w:rPr>
                      <w:i/>
                    </w:rPr>
                    <w:t>45 C.F.R. § 303.100(e)</w:t>
                  </w:r>
                </w:p>
                <w:p w14:paraId="3B8BE644" w14:textId="77777777" w:rsidR="002E5C37" w:rsidRPr="00B441FA" w:rsidRDefault="002E5C37" w:rsidP="00E44F50">
                  <w:pPr>
                    <w:rPr>
                      <w:i/>
                    </w:rPr>
                  </w:pPr>
                </w:p>
              </w:tc>
              <w:tc>
                <w:tcPr>
                  <w:tcW w:w="2790" w:type="dxa"/>
                  <w:shd w:val="clear" w:color="auto" w:fill="E5DFEC" w:themeFill="accent4" w:themeFillTint="33"/>
                </w:tcPr>
                <w:p w14:paraId="010D8331" w14:textId="77777777" w:rsidR="002E5C37" w:rsidRPr="00B441FA" w:rsidRDefault="002E5C37" w:rsidP="00E44F50">
                  <w:pPr>
                    <w:rPr>
                      <w:i/>
                    </w:rPr>
                  </w:pPr>
                  <w:r w:rsidRPr="00B441FA">
                    <w:rPr>
                      <w:i/>
                    </w:rPr>
                    <w:t xml:space="preserve">Within 2 business days of receipt of </w:t>
                  </w:r>
                </w:p>
              </w:tc>
              <w:tc>
                <w:tcPr>
                  <w:tcW w:w="1980" w:type="dxa"/>
                  <w:shd w:val="clear" w:color="auto" w:fill="E5DFEC" w:themeFill="accent4" w:themeFillTint="33"/>
                </w:tcPr>
                <w:p w14:paraId="7E6EA306" w14:textId="77777777" w:rsidR="002E5C37" w:rsidRPr="00B441FA" w:rsidRDefault="002E5C37" w:rsidP="00E44F50">
                  <w:pPr>
                    <w:rPr>
                      <w:i/>
                    </w:rPr>
                  </w:pPr>
                  <w:r w:rsidRPr="00B441FA">
                    <w:rPr>
                      <w:i/>
                    </w:rPr>
                    <w:t>4 business days</w:t>
                  </w:r>
                </w:p>
                <w:p w14:paraId="75710E2B" w14:textId="77777777" w:rsidR="002E5C37" w:rsidRPr="00B441FA" w:rsidRDefault="002E5C37" w:rsidP="00E44F50">
                  <w:pPr>
                    <w:rPr>
                      <w:i/>
                    </w:rPr>
                  </w:pPr>
                </w:p>
              </w:tc>
            </w:tr>
            <w:tr w:rsidR="002E5C37" w14:paraId="14BC8FC0" w14:textId="77777777" w:rsidTr="00E44F50">
              <w:tc>
                <w:tcPr>
                  <w:tcW w:w="4500" w:type="dxa"/>
                  <w:shd w:val="clear" w:color="auto" w:fill="E5DFEC" w:themeFill="accent4" w:themeFillTint="33"/>
                </w:tcPr>
                <w:p w14:paraId="7458AD2C" w14:textId="77777777" w:rsidR="002E5C37" w:rsidRPr="00B441FA" w:rsidRDefault="002E5C37" w:rsidP="00E44F50">
                  <w:pPr>
                    <w:rPr>
                      <w:i/>
                    </w:rPr>
                  </w:pPr>
                  <w:r w:rsidRPr="00B441FA">
                    <w:rPr>
                      <w:i/>
                    </w:rPr>
                    <w:t>Notice of continuing services to individuals no longer receiving IV-A services</w:t>
                  </w:r>
                </w:p>
                <w:p w14:paraId="08F85864" w14:textId="77777777" w:rsidR="002E5C37" w:rsidRPr="00B441FA" w:rsidRDefault="002E5C37" w:rsidP="00E44F50">
                  <w:pPr>
                    <w:rPr>
                      <w:i/>
                      <w:sz w:val="20"/>
                      <w:szCs w:val="20"/>
                    </w:rPr>
                  </w:pPr>
                  <w:r w:rsidRPr="00B441FA">
                    <w:rPr>
                      <w:i/>
                      <w:sz w:val="20"/>
                      <w:szCs w:val="20"/>
                    </w:rPr>
                    <w:t>45 C.F.R. § 302.33(a)(4)</w:t>
                  </w:r>
                </w:p>
                <w:p w14:paraId="3A639AEB" w14:textId="77777777" w:rsidR="002E5C37" w:rsidRPr="00B441FA" w:rsidRDefault="002E5C37" w:rsidP="00E44F50">
                  <w:pPr>
                    <w:rPr>
                      <w:i/>
                    </w:rPr>
                  </w:pPr>
                </w:p>
              </w:tc>
              <w:tc>
                <w:tcPr>
                  <w:tcW w:w="2790" w:type="dxa"/>
                  <w:shd w:val="clear" w:color="auto" w:fill="E5DFEC" w:themeFill="accent4" w:themeFillTint="33"/>
                </w:tcPr>
                <w:p w14:paraId="1A3AF1C1" w14:textId="77777777" w:rsidR="002E5C37" w:rsidRPr="00B441FA" w:rsidRDefault="002E5C37" w:rsidP="00E44F50">
                  <w:pPr>
                    <w:rPr>
                      <w:i/>
                    </w:rPr>
                  </w:pPr>
                  <w:r w:rsidRPr="00B441FA">
                    <w:rPr>
                      <w:i/>
                    </w:rPr>
                    <w:t>Within 5 working days of notification of noneligibility</w:t>
                  </w:r>
                </w:p>
              </w:tc>
              <w:tc>
                <w:tcPr>
                  <w:tcW w:w="1980" w:type="dxa"/>
                  <w:shd w:val="clear" w:color="auto" w:fill="E5DFEC" w:themeFill="accent4" w:themeFillTint="33"/>
                </w:tcPr>
                <w:p w14:paraId="62593E6C" w14:textId="77777777" w:rsidR="002E5C37" w:rsidRPr="00B441FA" w:rsidRDefault="002E5C37" w:rsidP="00E44F50">
                  <w:pPr>
                    <w:rPr>
                      <w:i/>
                    </w:rPr>
                  </w:pPr>
                  <w:r>
                    <w:rPr>
                      <w:i/>
                    </w:rPr>
                    <w:t>2</w:t>
                  </w:r>
                  <w:r w:rsidRPr="00B441FA">
                    <w:rPr>
                      <w:i/>
                    </w:rPr>
                    <w:t>0 working days</w:t>
                  </w:r>
                  <w:r>
                    <w:rPr>
                      <w:i/>
                    </w:rPr>
                    <w:t xml:space="preserve"> </w:t>
                  </w:r>
                </w:p>
              </w:tc>
            </w:tr>
            <w:tr w:rsidR="002E5C37" w14:paraId="759BDB45" w14:textId="77777777" w:rsidTr="00E44F50">
              <w:tc>
                <w:tcPr>
                  <w:tcW w:w="4500" w:type="dxa"/>
                  <w:shd w:val="clear" w:color="auto" w:fill="E5DFEC" w:themeFill="accent4" w:themeFillTint="33"/>
                </w:tcPr>
                <w:p w14:paraId="20E37C6A" w14:textId="77777777" w:rsidR="002E5C37" w:rsidRPr="00446822" w:rsidRDefault="002E5C37" w:rsidP="00E44F50">
                  <w:pPr>
                    <w:rPr>
                      <w:i/>
                    </w:rPr>
                  </w:pPr>
                  <w:r w:rsidRPr="00B441FA">
                    <w:rPr>
                      <w:i/>
                    </w:rPr>
                    <w:t>Notice to custodial</w:t>
                  </w:r>
                  <w:r>
                    <w:rPr>
                      <w:i/>
                    </w:rPr>
                    <w:t xml:space="preserve"> </w:t>
                  </w:r>
                  <w:r w:rsidRPr="00B441FA">
                    <w:rPr>
                      <w:i/>
                    </w:rPr>
                    <w:t>noncustodial parents of request for services or referral from DTA</w:t>
                  </w:r>
                </w:p>
                <w:p w14:paraId="5228A2CF" w14:textId="77777777" w:rsidR="002E5C37" w:rsidRDefault="002E5C37" w:rsidP="00E44F50">
                  <w:pPr>
                    <w:rPr>
                      <w:i/>
                      <w:iCs/>
                      <w:sz w:val="20"/>
                      <w:szCs w:val="20"/>
                    </w:rPr>
                  </w:pPr>
                  <w:r>
                    <w:rPr>
                      <w:i/>
                      <w:iCs/>
                      <w:sz w:val="20"/>
                      <w:szCs w:val="20"/>
                    </w:rPr>
                    <w:t>45 C.F.R. § 303.2(a)(2)</w:t>
                  </w:r>
                </w:p>
                <w:p w14:paraId="7BFAB0CB" w14:textId="77777777" w:rsidR="002E5C37" w:rsidRPr="00B441FA" w:rsidRDefault="002E5C37" w:rsidP="00E44F50">
                  <w:pPr>
                    <w:rPr>
                      <w:i/>
                      <w:sz w:val="20"/>
                      <w:szCs w:val="20"/>
                    </w:rPr>
                  </w:pPr>
                </w:p>
                <w:p w14:paraId="5B5D5487" w14:textId="77777777" w:rsidR="002E5C37" w:rsidRPr="00B441FA" w:rsidRDefault="002E5C37" w:rsidP="00E44F50">
                  <w:pPr>
                    <w:rPr>
                      <w:i/>
                    </w:rPr>
                  </w:pPr>
                </w:p>
              </w:tc>
              <w:tc>
                <w:tcPr>
                  <w:tcW w:w="2790" w:type="dxa"/>
                  <w:shd w:val="clear" w:color="auto" w:fill="E5DFEC" w:themeFill="accent4" w:themeFillTint="33"/>
                </w:tcPr>
                <w:p w14:paraId="2680B7C1" w14:textId="77777777" w:rsidR="002E5C37" w:rsidRPr="00B441FA" w:rsidRDefault="002E5C37" w:rsidP="00E44F50">
                  <w:pPr>
                    <w:rPr>
                      <w:i/>
                    </w:rPr>
                  </w:pPr>
                  <w:r w:rsidRPr="00B441FA">
                    <w:rPr>
                      <w:i/>
                    </w:rPr>
                    <w:t xml:space="preserve">Within 5 working days of request or referral </w:t>
                  </w:r>
                </w:p>
              </w:tc>
              <w:tc>
                <w:tcPr>
                  <w:tcW w:w="1980" w:type="dxa"/>
                  <w:shd w:val="clear" w:color="auto" w:fill="E5DFEC" w:themeFill="accent4" w:themeFillTint="33"/>
                </w:tcPr>
                <w:p w14:paraId="3316327E" w14:textId="77777777" w:rsidR="002E5C37" w:rsidRPr="00B441FA" w:rsidRDefault="002E5C37" w:rsidP="00E44F50">
                  <w:pPr>
                    <w:rPr>
                      <w:i/>
                    </w:rPr>
                  </w:pPr>
                  <w:r w:rsidRPr="00B441FA">
                    <w:rPr>
                      <w:i/>
                    </w:rPr>
                    <w:t>10 working days</w:t>
                  </w:r>
                </w:p>
              </w:tc>
            </w:tr>
            <w:tr w:rsidR="002E5C37" w14:paraId="102B2C28" w14:textId="77777777" w:rsidTr="00E44F50">
              <w:tc>
                <w:tcPr>
                  <w:tcW w:w="4500" w:type="dxa"/>
                  <w:shd w:val="clear" w:color="auto" w:fill="E5DFEC" w:themeFill="accent4" w:themeFillTint="33"/>
                </w:tcPr>
                <w:p w14:paraId="7737DB8D" w14:textId="77777777" w:rsidR="002E5C37" w:rsidRPr="00B441FA" w:rsidRDefault="002E5C37" w:rsidP="00E44F50">
                  <w:pPr>
                    <w:rPr>
                      <w:i/>
                    </w:rPr>
                  </w:pPr>
                  <w:r w:rsidRPr="00B441FA">
                    <w:rPr>
                      <w:i/>
                    </w:rPr>
                    <w:t xml:space="preserve">Transfer of National Medical Support Notice to employer </w:t>
                  </w:r>
                </w:p>
                <w:p w14:paraId="34EEA93C" w14:textId="77777777" w:rsidR="002E5C37" w:rsidRPr="00B441FA" w:rsidRDefault="002E5C37" w:rsidP="00E44F50">
                  <w:pPr>
                    <w:rPr>
                      <w:i/>
                    </w:rPr>
                  </w:pPr>
                  <w:r w:rsidRPr="00B441FA">
                    <w:rPr>
                      <w:i/>
                      <w:sz w:val="20"/>
                      <w:szCs w:val="20"/>
                    </w:rPr>
                    <w:t>45 C.F.R. § 303.32(c)(2)</w:t>
                  </w:r>
                </w:p>
              </w:tc>
              <w:tc>
                <w:tcPr>
                  <w:tcW w:w="2790" w:type="dxa"/>
                  <w:shd w:val="clear" w:color="auto" w:fill="E5DFEC" w:themeFill="accent4" w:themeFillTint="33"/>
                </w:tcPr>
                <w:p w14:paraId="42DF23C3" w14:textId="77777777" w:rsidR="002E5C37" w:rsidRPr="00B441FA" w:rsidRDefault="002E5C37" w:rsidP="00E44F50">
                  <w:pPr>
                    <w:rPr>
                      <w:i/>
                    </w:rPr>
                  </w:pPr>
                  <w:r w:rsidRPr="00B441FA">
                    <w:rPr>
                      <w:i/>
                    </w:rPr>
                    <w:t>Within 2 business days after entry of the employee in State Directory of New Hires</w:t>
                  </w:r>
                </w:p>
              </w:tc>
              <w:tc>
                <w:tcPr>
                  <w:tcW w:w="1980" w:type="dxa"/>
                  <w:shd w:val="clear" w:color="auto" w:fill="E5DFEC" w:themeFill="accent4" w:themeFillTint="33"/>
                </w:tcPr>
                <w:p w14:paraId="056BB5D4" w14:textId="77777777" w:rsidR="002E5C37" w:rsidRPr="00B441FA" w:rsidRDefault="002E5C37" w:rsidP="00E44F50">
                  <w:pPr>
                    <w:rPr>
                      <w:i/>
                    </w:rPr>
                  </w:pPr>
                  <w:r w:rsidRPr="00B441FA">
                    <w:rPr>
                      <w:i/>
                    </w:rPr>
                    <w:t>15 business days</w:t>
                  </w:r>
                  <w:r>
                    <w:rPr>
                      <w:i/>
                    </w:rPr>
                    <w:t xml:space="preserve"> </w:t>
                  </w:r>
                </w:p>
              </w:tc>
            </w:tr>
          </w:tbl>
          <w:p w14:paraId="6349BF77" w14:textId="77777777" w:rsidR="002E5C37" w:rsidRDefault="002E5C37" w:rsidP="00E44F50"/>
        </w:tc>
      </w:tr>
    </w:tbl>
    <w:p w14:paraId="4172D954" w14:textId="77777777" w:rsidR="002E5C37" w:rsidRDefault="002E5C37" w:rsidP="00891267">
      <w:pPr>
        <w:jc w:val="center"/>
        <w:rPr>
          <w:b/>
        </w:rPr>
      </w:pPr>
    </w:p>
    <w:p w14:paraId="5047EF7C" w14:textId="77777777" w:rsidR="002E5C37" w:rsidRDefault="002E5C37" w:rsidP="00891267">
      <w:pPr>
        <w:jc w:val="center"/>
        <w:rPr>
          <w:b/>
        </w:rPr>
      </w:pPr>
    </w:p>
    <w:p w14:paraId="67562FAB" w14:textId="6E08523D" w:rsidR="00460AB1" w:rsidRDefault="00891267" w:rsidP="00891267">
      <w:pPr>
        <w:jc w:val="center"/>
      </w:pPr>
      <w:r w:rsidRPr="00891267">
        <w:rPr>
          <w:b/>
        </w:rPr>
        <w:t>ADDITIONAL REQUESTS FOR MODIFICATION OR WAIVER OF PROGRAM REQUIREMENTS</w:t>
      </w:r>
    </w:p>
    <w:p w14:paraId="706F9A25" w14:textId="77777777" w:rsidR="00891267" w:rsidRDefault="00891267"/>
    <w:tbl>
      <w:tblPr>
        <w:tblStyle w:val="TableGrid"/>
        <w:tblW w:w="0" w:type="auto"/>
        <w:tblInd w:w="-252" w:type="dxa"/>
        <w:shd w:val="clear" w:color="auto" w:fill="FFFFFF" w:themeFill="background1"/>
        <w:tblLayout w:type="fixed"/>
        <w:tblLook w:val="04A0" w:firstRow="1" w:lastRow="0" w:firstColumn="1" w:lastColumn="0" w:noHBand="0" w:noVBand="1"/>
      </w:tblPr>
      <w:tblGrid>
        <w:gridCol w:w="2880"/>
        <w:gridCol w:w="2430"/>
        <w:gridCol w:w="4320"/>
      </w:tblGrid>
      <w:tr w:rsidR="003769D4" w14:paraId="61FE4242" w14:textId="77777777" w:rsidTr="00021664">
        <w:tc>
          <w:tcPr>
            <w:tcW w:w="2880" w:type="dxa"/>
            <w:shd w:val="clear" w:color="auto" w:fill="FFFFFF" w:themeFill="background1"/>
          </w:tcPr>
          <w:p w14:paraId="04797448" w14:textId="11A1257D" w:rsidR="003769D4" w:rsidRPr="003769D4" w:rsidRDefault="003769D4" w:rsidP="003769D4">
            <w:pPr>
              <w:jc w:val="center"/>
            </w:pPr>
            <w:r w:rsidRPr="003769D4">
              <w:t>PROGRAM REQUIREMENT (w/citations)</w:t>
            </w:r>
          </w:p>
        </w:tc>
        <w:tc>
          <w:tcPr>
            <w:tcW w:w="2430" w:type="dxa"/>
            <w:shd w:val="clear" w:color="auto" w:fill="FFFFFF" w:themeFill="background1"/>
          </w:tcPr>
          <w:p w14:paraId="426EA4EE" w14:textId="77777777" w:rsidR="003769D4" w:rsidRPr="003769D4" w:rsidRDefault="003769D4" w:rsidP="003769D4">
            <w:pPr>
              <w:jc w:val="center"/>
            </w:pPr>
            <w:r w:rsidRPr="003769D4">
              <w:t>CURRENT REQUIREMENT</w:t>
            </w:r>
          </w:p>
        </w:tc>
        <w:tc>
          <w:tcPr>
            <w:tcW w:w="4320" w:type="dxa"/>
            <w:shd w:val="clear" w:color="auto" w:fill="FFFFFF" w:themeFill="background1"/>
          </w:tcPr>
          <w:p w14:paraId="29BA0FD6" w14:textId="77777777" w:rsidR="003769D4" w:rsidRPr="003769D4" w:rsidRDefault="004718DE" w:rsidP="003769D4">
            <w:pPr>
              <w:jc w:val="center"/>
            </w:pPr>
            <w:r>
              <w:t>REQUEST</w:t>
            </w:r>
          </w:p>
        </w:tc>
      </w:tr>
      <w:tr w:rsidR="005B04D1" w14:paraId="299C726A" w14:textId="77777777" w:rsidTr="00021664">
        <w:tc>
          <w:tcPr>
            <w:tcW w:w="2880" w:type="dxa"/>
            <w:shd w:val="clear" w:color="auto" w:fill="FFFFFF" w:themeFill="background1"/>
          </w:tcPr>
          <w:p w14:paraId="09CED024" w14:textId="022F7D99" w:rsidR="005B04D1" w:rsidRDefault="00FA34C1" w:rsidP="002C50A8">
            <w:r>
              <w:t>Determination of Applicable Percentages based on Performance Levels</w:t>
            </w:r>
          </w:p>
          <w:p w14:paraId="34023814" w14:textId="77777777" w:rsidR="00FA34C1" w:rsidRDefault="00FA34C1" w:rsidP="002C50A8"/>
          <w:p w14:paraId="1D782479" w14:textId="77777777" w:rsidR="00217C7E" w:rsidRDefault="00217C7E" w:rsidP="00217C7E">
            <w:pPr>
              <w:rPr>
                <w:sz w:val="20"/>
                <w:szCs w:val="20"/>
              </w:rPr>
            </w:pPr>
            <w:r>
              <w:rPr>
                <w:color w:val="000000"/>
                <w:sz w:val="20"/>
                <w:szCs w:val="20"/>
              </w:rPr>
              <w:t>42 U.S.C. § 652</w:t>
            </w:r>
          </w:p>
          <w:p w14:paraId="77F99FEC" w14:textId="77777777" w:rsidR="00217C7E" w:rsidRDefault="00217C7E" w:rsidP="002C50A8">
            <w:pPr>
              <w:rPr>
                <w:sz w:val="20"/>
                <w:szCs w:val="20"/>
              </w:rPr>
            </w:pPr>
            <w:r>
              <w:rPr>
                <w:color w:val="000000"/>
                <w:sz w:val="20"/>
                <w:szCs w:val="20"/>
              </w:rPr>
              <w:t>45 C.F.R. § 305.33(a)</w:t>
            </w:r>
          </w:p>
          <w:p w14:paraId="783D875F" w14:textId="1D80F9BE" w:rsidR="00217C7E" w:rsidRPr="00217C7E" w:rsidRDefault="00217C7E" w:rsidP="002C50A8">
            <w:pPr>
              <w:rPr>
                <w:sz w:val="20"/>
                <w:szCs w:val="20"/>
              </w:rPr>
            </w:pPr>
          </w:p>
        </w:tc>
        <w:tc>
          <w:tcPr>
            <w:tcW w:w="2430" w:type="dxa"/>
            <w:shd w:val="clear" w:color="auto" w:fill="FFFFFF" w:themeFill="background1"/>
          </w:tcPr>
          <w:p w14:paraId="6B7F4D42" w14:textId="263A6D2A" w:rsidR="005B04D1" w:rsidRDefault="00FA34C1" w:rsidP="002C50A8">
            <w:r>
              <w:t>Annual Report</w:t>
            </w:r>
          </w:p>
        </w:tc>
        <w:tc>
          <w:tcPr>
            <w:tcW w:w="4320" w:type="dxa"/>
            <w:shd w:val="clear" w:color="auto" w:fill="FFFFFF" w:themeFill="background1"/>
          </w:tcPr>
          <w:p w14:paraId="0DC3BFA9" w14:textId="2FED256E" w:rsidR="005B04D1" w:rsidRDefault="005B04D1" w:rsidP="002C50A8">
            <w:r>
              <w:t xml:space="preserve">Financial penalties for failure to meet program performance measures (including the additional PEP penalty) in Federal Fiscal Years 2020 and 2021 be waived. </w:t>
            </w:r>
          </w:p>
        </w:tc>
      </w:tr>
      <w:tr w:rsidR="000B7AEE" w14:paraId="3F2B71A1" w14:textId="77777777" w:rsidTr="00021664">
        <w:tc>
          <w:tcPr>
            <w:tcW w:w="2880" w:type="dxa"/>
            <w:shd w:val="clear" w:color="auto" w:fill="FFFFFF" w:themeFill="background1"/>
          </w:tcPr>
          <w:p w14:paraId="7240BCAF" w14:textId="77777777" w:rsidR="000B7AEE" w:rsidRDefault="000B7AEE" w:rsidP="002C50A8">
            <w:r>
              <w:t>Self</w:t>
            </w:r>
            <w:r w:rsidR="004718DE">
              <w:t>-</w:t>
            </w:r>
            <w:r>
              <w:t>Assessment Report</w:t>
            </w:r>
          </w:p>
          <w:p w14:paraId="38937631" w14:textId="77777777" w:rsidR="000B7AEE" w:rsidRDefault="000B7AEE" w:rsidP="002C50A8"/>
          <w:p w14:paraId="0C2A0FF1" w14:textId="77777777" w:rsidR="000B7AEE" w:rsidRDefault="000B7AEE" w:rsidP="002C50A8">
            <w:pPr>
              <w:rPr>
                <w:sz w:val="20"/>
                <w:szCs w:val="20"/>
              </w:rPr>
            </w:pPr>
            <w:r>
              <w:rPr>
                <w:sz w:val="20"/>
                <w:szCs w:val="20"/>
              </w:rPr>
              <w:t>45</w:t>
            </w:r>
            <w:r w:rsidRPr="00BD0CE9">
              <w:rPr>
                <w:sz w:val="20"/>
                <w:szCs w:val="20"/>
              </w:rPr>
              <w:t xml:space="preserve"> C.F.R. §</w:t>
            </w:r>
            <w:r>
              <w:rPr>
                <w:sz w:val="20"/>
                <w:szCs w:val="20"/>
              </w:rPr>
              <w:t xml:space="preserve"> 308.1 et seq.</w:t>
            </w:r>
          </w:p>
          <w:p w14:paraId="44B257BC" w14:textId="77777777" w:rsidR="000B7AEE" w:rsidRDefault="000B7AEE" w:rsidP="002C50A8"/>
          <w:p w14:paraId="08DC9035" w14:textId="77777777" w:rsidR="000B7AEE" w:rsidRDefault="000B7AEE" w:rsidP="002C50A8"/>
        </w:tc>
        <w:tc>
          <w:tcPr>
            <w:tcW w:w="2430" w:type="dxa"/>
            <w:shd w:val="clear" w:color="auto" w:fill="FFFFFF" w:themeFill="background1"/>
          </w:tcPr>
          <w:p w14:paraId="1094EA9E" w14:textId="77777777" w:rsidR="000B7AEE" w:rsidRDefault="004718DE" w:rsidP="002C50A8">
            <w:r>
              <w:lastRenderedPageBreak/>
              <w:t>Annual Report</w:t>
            </w:r>
          </w:p>
        </w:tc>
        <w:tc>
          <w:tcPr>
            <w:tcW w:w="4320" w:type="dxa"/>
            <w:shd w:val="clear" w:color="auto" w:fill="FFFFFF" w:themeFill="background1"/>
          </w:tcPr>
          <w:p w14:paraId="3BF96D11" w14:textId="17D250FF" w:rsidR="000B7AEE" w:rsidRPr="00FA34C1" w:rsidRDefault="000B7AEE" w:rsidP="002C50A8">
            <w:pPr>
              <w:rPr>
                <w:rFonts w:cstheme="minorHAnsi"/>
              </w:rPr>
            </w:pPr>
            <w:r w:rsidRPr="00FA34C1">
              <w:rPr>
                <w:rFonts w:cstheme="minorHAnsi"/>
              </w:rPr>
              <w:t>Next S</w:t>
            </w:r>
            <w:r w:rsidR="004718DE" w:rsidRPr="00FA34C1">
              <w:rPr>
                <w:rFonts w:cstheme="minorHAnsi"/>
              </w:rPr>
              <w:t>elf-Assessment Report due by 202</w:t>
            </w:r>
            <w:r w:rsidR="002E5C37" w:rsidRPr="00FA34C1">
              <w:rPr>
                <w:rFonts w:cstheme="minorHAnsi"/>
              </w:rPr>
              <w:t>2</w:t>
            </w:r>
            <w:r w:rsidRPr="00FA34C1">
              <w:rPr>
                <w:rFonts w:cstheme="minorHAnsi"/>
              </w:rPr>
              <w:t xml:space="preserve">.  </w:t>
            </w:r>
          </w:p>
          <w:p w14:paraId="6AD9EB75" w14:textId="77777777" w:rsidR="000B7AEE" w:rsidRPr="00FA34C1" w:rsidRDefault="000B7AEE" w:rsidP="002C50A8">
            <w:pPr>
              <w:rPr>
                <w:rFonts w:cstheme="minorHAnsi"/>
              </w:rPr>
            </w:pPr>
          </w:p>
          <w:p w14:paraId="452ACFE1" w14:textId="24213599" w:rsidR="00490F50" w:rsidRPr="00FA34C1" w:rsidRDefault="00490F50" w:rsidP="00490F50">
            <w:pPr>
              <w:rPr>
                <w:rFonts w:cstheme="minorHAnsi"/>
                <w:color w:val="202020"/>
                <w:lang w:val="en"/>
              </w:rPr>
            </w:pPr>
            <w:r w:rsidRPr="00FA34C1">
              <w:rPr>
                <w:rFonts w:cstheme="minorHAnsi"/>
                <w:color w:val="202020"/>
                <w:lang w:val="en"/>
              </w:rPr>
              <w:lastRenderedPageBreak/>
              <w:t>The purpose of self-assessment is “to give a State the opportunity to assess whether it is meeting Federal requirements for providing child support services and providing the best services possible…. It is to be used as a management tool, to help a State evaluate its program and assess its performance.”  2000 Final Rule on State Self-Assessment.  Given the modification requests of these federal requirements and the unique circumstances, it does not make sense to require a self-assessment report during this time period.</w:t>
            </w:r>
          </w:p>
          <w:p w14:paraId="1675C5A1" w14:textId="77777777" w:rsidR="000B7AEE" w:rsidRPr="00FA34C1" w:rsidRDefault="00490F50" w:rsidP="00490F50">
            <w:pPr>
              <w:rPr>
                <w:rFonts w:cstheme="minorHAnsi"/>
              </w:rPr>
            </w:pPr>
            <w:r w:rsidRPr="00FA34C1">
              <w:rPr>
                <w:rFonts w:cstheme="minorHAnsi"/>
                <w:color w:val="202020"/>
                <w:lang w:val="en"/>
              </w:rPr>
              <w:t xml:space="preserve">  </w:t>
            </w:r>
          </w:p>
        </w:tc>
      </w:tr>
      <w:tr w:rsidR="00B06843" w14:paraId="646715FE" w14:textId="77777777" w:rsidTr="00021664">
        <w:tc>
          <w:tcPr>
            <w:tcW w:w="2880" w:type="dxa"/>
            <w:shd w:val="clear" w:color="auto" w:fill="FFFFFF" w:themeFill="background1"/>
          </w:tcPr>
          <w:p w14:paraId="00B2F38D" w14:textId="77777777" w:rsidR="00B06843" w:rsidRDefault="006C3C18" w:rsidP="002C50A8">
            <w:r>
              <w:lastRenderedPageBreak/>
              <w:t>Use of the renewed Hague Convention forms</w:t>
            </w:r>
          </w:p>
          <w:p w14:paraId="6C361554" w14:textId="77777777" w:rsidR="006C3C18" w:rsidRDefault="006C3C18" w:rsidP="002C50A8"/>
          <w:p w14:paraId="71DD1EB1" w14:textId="77777777" w:rsidR="0054476D" w:rsidRDefault="0054476D" w:rsidP="002C50A8">
            <w:pPr>
              <w:rPr>
                <w:sz w:val="20"/>
                <w:szCs w:val="20"/>
              </w:rPr>
            </w:pPr>
            <w:r>
              <w:rPr>
                <w:sz w:val="20"/>
                <w:szCs w:val="20"/>
              </w:rPr>
              <w:t>45</w:t>
            </w:r>
            <w:r w:rsidRPr="00BD0CE9">
              <w:rPr>
                <w:sz w:val="20"/>
                <w:szCs w:val="20"/>
              </w:rPr>
              <w:t xml:space="preserve"> C.F.R. §</w:t>
            </w:r>
            <w:r>
              <w:rPr>
                <w:sz w:val="20"/>
                <w:szCs w:val="20"/>
              </w:rPr>
              <w:t xml:space="preserve"> 303.7(a)(4)</w:t>
            </w:r>
          </w:p>
          <w:p w14:paraId="4AEF5653" w14:textId="77777777" w:rsidR="0054476D" w:rsidRDefault="0054476D" w:rsidP="002C50A8">
            <w:r>
              <w:rPr>
                <w:sz w:val="20"/>
                <w:szCs w:val="20"/>
              </w:rPr>
              <w:t>AT-20-05</w:t>
            </w:r>
          </w:p>
          <w:p w14:paraId="5ACF88E4" w14:textId="77777777" w:rsidR="0054476D" w:rsidRDefault="0054476D" w:rsidP="002C50A8"/>
        </w:tc>
        <w:tc>
          <w:tcPr>
            <w:tcW w:w="2430" w:type="dxa"/>
            <w:shd w:val="clear" w:color="auto" w:fill="FFFFFF" w:themeFill="background1"/>
          </w:tcPr>
          <w:p w14:paraId="66C36B64" w14:textId="77777777" w:rsidR="00B06843" w:rsidRDefault="006C3C18" w:rsidP="002C50A8">
            <w:r>
              <w:t>By May 1, 2020</w:t>
            </w:r>
          </w:p>
        </w:tc>
        <w:tc>
          <w:tcPr>
            <w:tcW w:w="4320" w:type="dxa"/>
            <w:shd w:val="clear" w:color="auto" w:fill="FFFFFF" w:themeFill="background1"/>
          </w:tcPr>
          <w:p w14:paraId="71FBCFFD" w14:textId="77777777" w:rsidR="00B06843" w:rsidRDefault="004718DE" w:rsidP="002C50A8">
            <w:r>
              <w:t>By May 1, 2021</w:t>
            </w:r>
          </w:p>
        </w:tc>
      </w:tr>
      <w:tr w:rsidR="00425F9E" w14:paraId="41105817" w14:textId="77777777" w:rsidTr="00021664">
        <w:tc>
          <w:tcPr>
            <w:tcW w:w="2880" w:type="dxa"/>
            <w:shd w:val="clear" w:color="auto" w:fill="FFFFFF" w:themeFill="background1"/>
          </w:tcPr>
          <w:p w14:paraId="61C39F7E" w14:textId="77777777" w:rsidR="00425F9E" w:rsidRDefault="00425F9E" w:rsidP="00B06843">
            <w:r>
              <w:t>Use of revised NMSN form</w:t>
            </w:r>
          </w:p>
          <w:p w14:paraId="28CA8608" w14:textId="77777777" w:rsidR="00425F9E" w:rsidRDefault="00425F9E" w:rsidP="00B06843"/>
          <w:p w14:paraId="7C84B1E6" w14:textId="77777777" w:rsidR="00425F9E" w:rsidRPr="00021664" w:rsidRDefault="00425F9E" w:rsidP="00B06843">
            <w:pPr>
              <w:rPr>
                <w:sz w:val="20"/>
                <w:szCs w:val="20"/>
              </w:rPr>
            </w:pPr>
            <w:r w:rsidRPr="00021664">
              <w:rPr>
                <w:sz w:val="20"/>
                <w:szCs w:val="20"/>
              </w:rPr>
              <w:t>AT-19-06</w:t>
            </w:r>
          </w:p>
          <w:p w14:paraId="09A9D253" w14:textId="77777777" w:rsidR="00425F9E" w:rsidRDefault="00425F9E" w:rsidP="00B06843"/>
        </w:tc>
        <w:tc>
          <w:tcPr>
            <w:tcW w:w="2430" w:type="dxa"/>
            <w:shd w:val="clear" w:color="auto" w:fill="FFFFFF" w:themeFill="background1"/>
          </w:tcPr>
          <w:p w14:paraId="52F660BD" w14:textId="77777777" w:rsidR="00425F9E" w:rsidRDefault="00425F9E" w:rsidP="002C50A8">
            <w:r>
              <w:t>By August 31, 2020</w:t>
            </w:r>
          </w:p>
        </w:tc>
        <w:tc>
          <w:tcPr>
            <w:tcW w:w="4320" w:type="dxa"/>
            <w:shd w:val="clear" w:color="auto" w:fill="FFFFFF" w:themeFill="background1"/>
          </w:tcPr>
          <w:p w14:paraId="50EA2167" w14:textId="77777777" w:rsidR="00425F9E" w:rsidRDefault="004718DE" w:rsidP="002C50A8">
            <w:r>
              <w:t>By August 31, 2021</w:t>
            </w:r>
          </w:p>
        </w:tc>
      </w:tr>
      <w:tr w:rsidR="003755A9" w14:paraId="31871285" w14:textId="77777777" w:rsidTr="00021664">
        <w:tc>
          <w:tcPr>
            <w:tcW w:w="2880" w:type="dxa"/>
            <w:shd w:val="clear" w:color="auto" w:fill="FFFFFF" w:themeFill="background1"/>
          </w:tcPr>
          <w:p w14:paraId="2B1044DF" w14:textId="77777777" w:rsidR="003755A9" w:rsidRDefault="00AA4211" w:rsidP="003755A9">
            <w:r>
              <w:t>Include SSA</w:t>
            </w:r>
            <w:r w:rsidR="00425F9E">
              <w:t xml:space="preserve"> Retirement (SSR) </w:t>
            </w:r>
            <w:r>
              <w:t>when referring to concurrent SSI benefits</w:t>
            </w:r>
            <w:r w:rsidR="00425F9E">
              <w:t xml:space="preserve"> </w:t>
            </w:r>
          </w:p>
          <w:p w14:paraId="2A2EE2AC" w14:textId="77777777" w:rsidR="00425F9E" w:rsidRDefault="00425F9E" w:rsidP="003755A9"/>
          <w:p w14:paraId="63BABB25" w14:textId="77777777" w:rsidR="00425F9E" w:rsidRDefault="00425F9E" w:rsidP="003755A9">
            <w:r>
              <w:rPr>
                <w:sz w:val="20"/>
                <w:szCs w:val="20"/>
              </w:rPr>
              <w:t>45</w:t>
            </w:r>
            <w:r w:rsidRPr="00BD0CE9">
              <w:rPr>
                <w:sz w:val="20"/>
                <w:szCs w:val="20"/>
              </w:rPr>
              <w:t xml:space="preserve"> C.F.R. §</w:t>
            </w:r>
            <w:r>
              <w:rPr>
                <w:sz w:val="20"/>
                <w:szCs w:val="20"/>
              </w:rPr>
              <w:t xml:space="preserve"> 307.11(c)</w:t>
            </w:r>
          </w:p>
          <w:p w14:paraId="0DAA7268" w14:textId="77777777" w:rsidR="003755A9" w:rsidRDefault="003755A9" w:rsidP="00B06843"/>
        </w:tc>
        <w:tc>
          <w:tcPr>
            <w:tcW w:w="2430" w:type="dxa"/>
            <w:shd w:val="clear" w:color="auto" w:fill="FFFFFF" w:themeFill="background1"/>
          </w:tcPr>
          <w:p w14:paraId="5EF3ABD6" w14:textId="77777777" w:rsidR="003755A9" w:rsidRDefault="00AA4211" w:rsidP="002C50A8">
            <w:r>
              <w:t>By February 4, 2021</w:t>
            </w:r>
          </w:p>
        </w:tc>
        <w:tc>
          <w:tcPr>
            <w:tcW w:w="4320" w:type="dxa"/>
            <w:shd w:val="clear" w:color="auto" w:fill="FFFFFF" w:themeFill="background1"/>
          </w:tcPr>
          <w:p w14:paraId="45142974" w14:textId="77777777" w:rsidR="003755A9" w:rsidRDefault="004718DE" w:rsidP="002C50A8">
            <w:r>
              <w:t>Be February 4, 2022</w:t>
            </w:r>
          </w:p>
        </w:tc>
      </w:tr>
      <w:tr w:rsidR="00B06843" w14:paraId="36E1F8D6" w14:textId="77777777" w:rsidTr="00021664">
        <w:tc>
          <w:tcPr>
            <w:tcW w:w="2880" w:type="dxa"/>
            <w:shd w:val="clear" w:color="auto" w:fill="FFFFFF" w:themeFill="background1"/>
          </w:tcPr>
          <w:p w14:paraId="25DE47D1" w14:textId="77777777" w:rsidR="00425F9E" w:rsidRDefault="00B06843" w:rsidP="00B06843">
            <w:r>
              <w:t>Submit Revised State Plan Page 3.8-3</w:t>
            </w:r>
            <w:r w:rsidR="00425F9E">
              <w:t xml:space="preserve"> </w:t>
            </w:r>
          </w:p>
          <w:p w14:paraId="5B75EC0C" w14:textId="77777777" w:rsidR="00021664" w:rsidRDefault="00021664" w:rsidP="00B06843"/>
          <w:p w14:paraId="55ED815E" w14:textId="77777777" w:rsidR="00B06843" w:rsidRDefault="000B7AEE" w:rsidP="002C50A8">
            <w:r>
              <w:rPr>
                <w:sz w:val="20"/>
                <w:szCs w:val="20"/>
              </w:rPr>
              <w:t>45</w:t>
            </w:r>
            <w:r w:rsidRPr="00BD0CE9">
              <w:rPr>
                <w:sz w:val="20"/>
                <w:szCs w:val="20"/>
              </w:rPr>
              <w:t xml:space="preserve"> C.F.R. §</w:t>
            </w:r>
            <w:r>
              <w:rPr>
                <w:sz w:val="20"/>
                <w:szCs w:val="20"/>
              </w:rPr>
              <w:t xml:space="preserve"> 302.33</w:t>
            </w:r>
          </w:p>
          <w:p w14:paraId="1388DA67" w14:textId="77777777" w:rsidR="00AA4211" w:rsidRDefault="00AA4211" w:rsidP="002C50A8"/>
        </w:tc>
        <w:tc>
          <w:tcPr>
            <w:tcW w:w="2430" w:type="dxa"/>
            <w:shd w:val="clear" w:color="auto" w:fill="FFFFFF" w:themeFill="background1"/>
          </w:tcPr>
          <w:p w14:paraId="042F6070" w14:textId="77777777" w:rsidR="00B06843" w:rsidRDefault="00B06843" w:rsidP="002C50A8">
            <w:r>
              <w:t>By February 4, 2021</w:t>
            </w:r>
          </w:p>
        </w:tc>
        <w:tc>
          <w:tcPr>
            <w:tcW w:w="4320" w:type="dxa"/>
            <w:shd w:val="clear" w:color="auto" w:fill="FFFFFF" w:themeFill="background1"/>
          </w:tcPr>
          <w:p w14:paraId="289352F3" w14:textId="77777777" w:rsidR="00B06843" w:rsidRDefault="004718DE" w:rsidP="002C50A8">
            <w:r>
              <w:t>By February 4 ,2022</w:t>
            </w:r>
          </w:p>
        </w:tc>
      </w:tr>
      <w:tr w:rsidR="00F40849" w14:paraId="317E06B6" w14:textId="77777777" w:rsidTr="00021664">
        <w:tc>
          <w:tcPr>
            <w:tcW w:w="2880" w:type="dxa"/>
            <w:shd w:val="clear" w:color="auto" w:fill="FFFFFF" w:themeFill="background1"/>
          </w:tcPr>
          <w:p w14:paraId="16140B4D" w14:textId="77777777" w:rsidR="00F40849" w:rsidRDefault="00F40849" w:rsidP="002C50A8">
            <w:r>
              <w:t>Implement NDNH and Quarterly Wage reporting change made in Technical Corrections Final Rule</w:t>
            </w:r>
          </w:p>
          <w:p w14:paraId="1A024F7C" w14:textId="77777777" w:rsidR="00F40849" w:rsidRDefault="00F40849" w:rsidP="002C50A8"/>
          <w:p w14:paraId="65AFF899" w14:textId="77777777" w:rsidR="00F40849" w:rsidRDefault="00F40849" w:rsidP="002C50A8">
            <w:pPr>
              <w:rPr>
                <w:sz w:val="20"/>
                <w:szCs w:val="20"/>
              </w:rPr>
            </w:pPr>
            <w:r>
              <w:rPr>
                <w:sz w:val="20"/>
                <w:szCs w:val="20"/>
              </w:rPr>
              <w:t>45</w:t>
            </w:r>
            <w:r w:rsidRPr="00BD0CE9">
              <w:rPr>
                <w:sz w:val="20"/>
                <w:szCs w:val="20"/>
              </w:rPr>
              <w:t xml:space="preserve"> C.F.R. §</w:t>
            </w:r>
            <w:r>
              <w:rPr>
                <w:sz w:val="20"/>
                <w:szCs w:val="20"/>
              </w:rPr>
              <w:t xml:space="preserve"> 303.108(c)</w:t>
            </w:r>
          </w:p>
          <w:p w14:paraId="2AE0FA66" w14:textId="77777777" w:rsidR="00F40849" w:rsidRDefault="00F40849" w:rsidP="002C50A8">
            <w:r>
              <w:t>AT-20-07</w:t>
            </w:r>
          </w:p>
          <w:p w14:paraId="13F2D55A" w14:textId="77777777" w:rsidR="00F40849" w:rsidRDefault="00F40849" w:rsidP="002C50A8"/>
        </w:tc>
        <w:tc>
          <w:tcPr>
            <w:tcW w:w="2430" w:type="dxa"/>
            <w:shd w:val="clear" w:color="auto" w:fill="FFFFFF" w:themeFill="background1"/>
          </w:tcPr>
          <w:p w14:paraId="65EF9D4F" w14:textId="77777777" w:rsidR="00F40849" w:rsidRDefault="00F40849" w:rsidP="002C50A8">
            <w:r>
              <w:t>By June 9, 2021</w:t>
            </w:r>
          </w:p>
        </w:tc>
        <w:tc>
          <w:tcPr>
            <w:tcW w:w="4320" w:type="dxa"/>
            <w:shd w:val="clear" w:color="auto" w:fill="FFFFFF" w:themeFill="background1"/>
          </w:tcPr>
          <w:p w14:paraId="3472C1B5" w14:textId="77777777" w:rsidR="00F40849" w:rsidRDefault="004718DE" w:rsidP="002C50A8">
            <w:r>
              <w:t>By June 9, 2022</w:t>
            </w:r>
          </w:p>
        </w:tc>
      </w:tr>
      <w:tr w:rsidR="00F40849" w:rsidRPr="00B441FA" w14:paraId="4D45BC2D" w14:textId="77777777" w:rsidTr="00021664">
        <w:tc>
          <w:tcPr>
            <w:tcW w:w="2880" w:type="dxa"/>
            <w:shd w:val="clear" w:color="auto" w:fill="FFFFFF" w:themeFill="background1"/>
          </w:tcPr>
          <w:p w14:paraId="4AD4324F" w14:textId="77777777" w:rsidR="00F40849" w:rsidRDefault="00F40849" w:rsidP="002C50A8">
            <w:r>
              <w:t>Use of Revised OCSE-157 Data Report</w:t>
            </w:r>
          </w:p>
          <w:p w14:paraId="499AD166" w14:textId="77777777" w:rsidR="00F40849" w:rsidRDefault="00F40849" w:rsidP="002C50A8"/>
          <w:p w14:paraId="53600195" w14:textId="77777777" w:rsidR="00F40849" w:rsidRDefault="00F40849" w:rsidP="002C50A8">
            <w:r>
              <w:t>AT-20-06</w:t>
            </w:r>
          </w:p>
          <w:p w14:paraId="25298E91" w14:textId="77777777" w:rsidR="00F40849" w:rsidRDefault="00F40849" w:rsidP="002C50A8"/>
        </w:tc>
        <w:tc>
          <w:tcPr>
            <w:tcW w:w="2430" w:type="dxa"/>
            <w:shd w:val="clear" w:color="auto" w:fill="FFFFFF" w:themeFill="background1"/>
          </w:tcPr>
          <w:p w14:paraId="464F178F" w14:textId="77777777" w:rsidR="00F40849" w:rsidRDefault="00F40849" w:rsidP="002C50A8">
            <w:r>
              <w:t>By October 1, 2021</w:t>
            </w:r>
          </w:p>
        </w:tc>
        <w:tc>
          <w:tcPr>
            <w:tcW w:w="4320" w:type="dxa"/>
            <w:shd w:val="clear" w:color="auto" w:fill="FFFFFF" w:themeFill="background1"/>
          </w:tcPr>
          <w:p w14:paraId="63479C58" w14:textId="77777777" w:rsidR="00F40849" w:rsidRDefault="00021664" w:rsidP="002C50A8">
            <w:r>
              <w:t>By October 1, 2022</w:t>
            </w:r>
          </w:p>
        </w:tc>
      </w:tr>
    </w:tbl>
    <w:p w14:paraId="0750ECE2" w14:textId="77777777" w:rsidR="00891267" w:rsidRPr="00891267" w:rsidRDefault="00891267"/>
    <w:sectPr w:rsidR="00891267" w:rsidRPr="00891267" w:rsidSect="00C90A24">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8C6AB" w14:textId="77777777" w:rsidR="003F0FE4" w:rsidRDefault="003F0FE4" w:rsidP="00891267">
      <w:r>
        <w:separator/>
      </w:r>
    </w:p>
  </w:endnote>
  <w:endnote w:type="continuationSeparator" w:id="0">
    <w:p w14:paraId="235E7A51" w14:textId="77777777" w:rsidR="003F0FE4" w:rsidRDefault="003F0FE4" w:rsidP="0089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C481C" w14:textId="77777777" w:rsidR="003F0FE4" w:rsidRDefault="003F0FE4" w:rsidP="00891267">
      <w:r>
        <w:separator/>
      </w:r>
    </w:p>
  </w:footnote>
  <w:footnote w:type="continuationSeparator" w:id="0">
    <w:p w14:paraId="7F2B880E" w14:textId="77777777" w:rsidR="003F0FE4" w:rsidRDefault="003F0FE4" w:rsidP="00891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D83"/>
    <w:rsid w:val="00010085"/>
    <w:rsid w:val="00021664"/>
    <w:rsid w:val="0005075C"/>
    <w:rsid w:val="00053C0A"/>
    <w:rsid w:val="00060123"/>
    <w:rsid w:val="000B7AEE"/>
    <w:rsid w:val="000D13C4"/>
    <w:rsid w:val="00123A37"/>
    <w:rsid w:val="00137391"/>
    <w:rsid w:val="00145B0F"/>
    <w:rsid w:val="001512E8"/>
    <w:rsid w:val="00153BB6"/>
    <w:rsid w:val="00156CC0"/>
    <w:rsid w:val="001674F5"/>
    <w:rsid w:val="001B28CF"/>
    <w:rsid w:val="001B76CB"/>
    <w:rsid w:val="001E0F38"/>
    <w:rsid w:val="001E4D83"/>
    <w:rsid w:val="00217C7E"/>
    <w:rsid w:val="002256F7"/>
    <w:rsid w:val="00225BCD"/>
    <w:rsid w:val="00237705"/>
    <w:rsid w:val="002A3E7E"/>
    <w:rsid w:val="002B5FDD"/>
    <w:rsid w:val="002E5C37"/>
    <w:rsid w:val="0030476D"/>
    <w:rsid w:val="003537C7"/>
    <w:rsid w:val="0035552A"/>
    <w:rsid w:val="0036405C"/>
    <w:rsid w:val="0037419C"/>
    <w:rsid w:val="003755A9"/>
    <w:rsid w:val="003769D4"/>
    <w:rsid w:val="00380546"/>
    <w:rsid w:val="003A3FFB"/>
    <w:rsid w:val="003B685A"/>
    <w:rsid w:val="003C45A2"/>
    <w:rsid w:val="003C5C17"/>
    <w:rsid w:val="003D36E1"/>
    <w:rsid w:val="003F0FE4"/>
    <w:rsid w:val="00425F9E"/>
    <w:rsid w:val="00446822"/>
    <w:rsid w:val="00454404"/>
    <w:rsid w:val="00460AB1"/>
    <w:rsid w:val="004635F8"/>
    <w:rsid w:val="004718DE"/>
    <w:rsid w:val="00480B27"/>
    <w:rsid w:val="00490F50"/>
    <w:rsid w:val="004A6C44"/>
    <w:rsid w:val="004C5F66"/>
    <w:rsid w:val="004E25F8"/>
    <w:rsid w:val="00517805"/>
    <w:rsid w:val="0054476D"/>
    <w:rsid w:val="005679DD"/>
    <w:rsid w:val="005B04D1"/>
    <w:rsid w:val="005D0292"/>
    <w:rsid w:val="00627285"/>
    <w:rsid w:val="00672861"/>
    <w:rsid w:val="006B25AA"/>
    <w:rsid w:val="006C3C18"/>
    <w:rsid w:val="006C54DA"/>
    <w:rsid w:val="006F3046"/>
    <w:rsid w:val="00701745"/>
    <w:rsid w:val="007244A7"/>
    <w:rsid w:val="00746EEB"/>
    <w:rsid w:val="00750E6D"/>
    <w:rsid w:val="0076769D"/>
    <w:rsid w:val="00774EAB"/>
    <w:rsid w:val="0077645A"/>
    <w:rsid w:val="00776875"/>
    <w:rsid w:val="00795507"/>
    <w:rsid w:val="007A232F"/>
    <w:rsid w:val="008031F0"/>
    <w:rsid w:val="00891267"/>
    <w:rsid w:val="008B7C08"/>
    <w:rsid w:val="008C55E6"/>
    <w:rsid w:val="008C5DB7"/>
    <w:rsid w:val="00903DFF"/>
    <w:rsid w:val="00916CEE"/>
    <w:rsid w:val="009342E7"/>
    <w:rsid w:val="009452EC"/>
    <w:rsid w:val="009A1A9B"/>
    <w:rsid w:val="009E208F"/>
    <w:rsid w:val="00A11E44"/>
    <w:rsid w:val="00A147D0"/>
    <w:rsid w:val="00A52DE7"/>
    <w:rsid w:val="00A70180"/>
    <w:rsid w:val="00AA4211"/>
    <w:rsid w:val="00AA5A3E"/>
    <w:rsid w:val="00AC176A"/>
    <w:rsid w:val="00AC6C61"/>
    <w:rsid w:val="00AD62BF"/>
    <w:rsid w:val="00B06843"/>
    <w:rsid w:val="00B415FD"/>
    <w:rsid w:val="00B4215F"/>
    <w:rsid w:val="00B441FA"/>
    <w:rsid w:val="00B4763D"/>
    <w:rsid w:val="00B526AF"/>
    <w:rsid w:val="00B57571"/>
    <w:rsid w:val="00B7778E"/>
    <w:rsid w:val="00BB1B7C"/>
    <w:rsid w:val="00BB4961"/>
    <w:rsid w:val="00BD0CE9"/>
    <w:rsid w:val="00C06CD2"/>
    <w:rsid w:val="00C17768"/>
    <w:rsid w:val="00C74F83"/>
    <w:rsid w:val="00C90A24"/>
    <w:rsid w:val="00CA6F03"/>
    <w:rsid w:val="00CC202A"/>
    <w:rsid w:val="00CC6FD4"/>
    <w:rsid w:val="00CE50E5"/>
    <w:rsid w:val="00CE7E1C"/>
    <w:rsid w:val="00D07E66"/>
    <w:rsid w:val="00D24F72"/>
    <w:rsid w:val="00D91333"/>
    <w:rsid w:val="00DB10E6"/>
    <w:rsid w:val="00DB7095"/>
    <w:rsid w:val="00DE594F"/>
    <w:rsid w:val="00E06FBA"/>
    <w:rsid w:val="00E137F5"/>
    <w:rsid w:val="00EB13C9"/>
    <w:rsid w:val="00EE4BD7"/>
    <w:rsid w:val="00F40849"/>
    <w:rsid w:val="00F777B6"/>
    <w:rsid w:val="00FA34C1"/>
    <w:rsid w:val="00FC3069"/>
    <w:rsid w:val="00FD0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D71D"/>
  <w15:docId w15:val="{03232B3F-2C03-425C-ADD1-8CC579FD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F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4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1267"/>
    <w:pPr>
      <w:tabs>
        <w:tab w:val="center" w:pos="4680"/>
        <w:tab w:val="right" w:pos="9360"/>
      </w:tabs>
    </w:pPr>
  </w:style>
  <w:style w:type="character" w:customStyle="1" w:styleId="HeaderChar">
    <w:name w:val="Header Char"/>
    <w:basedOn w:val="DefaultParagraphFont"/>
    <w:link w:val="Header"/>
    <w:uiPriority w:val="99"/>
    <w:rsid w:val="00891267"/>
  </w:style>
  <w:style w:type="paragraph" w:styleId="Footer">
    <w:name w:val="footer"/>
    <w:basedOn w:val="Normal"/>
    <w:link w:val="FooterChar"/>
    <w:uiPriority w:val="99"/>
    <w:unhideWhenUsed/>
    <w:rsid w:val="00891267"/>
    <w:pPr>
      <w:tabs>
        <w:tab w:val="center" w:pos="4680"/>
        <w:tab w:val="right" w:pos="9360"/>
      </w:tabs>
    </w:pPr>
  </w:style>
  <w:style w:type="character" w:customStyle="1" w:styleId="FooterChar">
    <w:name w:val="Footer Char"/>
    <w:basedOn w:val="DefaultParagraphFont"/>
    <w:link w:val="Footer"/>
    <w:uiPriority w:val="99"/>
    <w:rsid w:val="00891267"/>
  </w:style>
  <w:style w:type="paragraph" w:styleId="BalloonText">
    <w:name w:val="Balloon Text"/>
    <w:basedOn w:val="Normal"/>
    <w:link w:val="BalloonTextChar"/>
    <w:uiPriority w:val="99"/>
    <w:semiHidden/>
    <w:unhideWhenUsed/>
    <w:rsid w:val="004718DE"/>
    <w:rPr>
      <w:rFonts w:ascii="Tahoma" w:hAnsi="Tahoma" w:cs="Tahoma"/>
      <w:sz w:val="16"/>
      <w:szCs w:val="16"/>
    </w:rPr>
  </w:style>
  <w:style w:type="character" w:customStyle="1" w:styleId="BalloonTextChar">
    <w:name w:val="Balloon Text Char"/>
    <w:basedOn w:val="DefaultParagraphFont"/>
    <w:link w:val="BalloonText"/>
    <w:uiPriority w:val="99"/>
    <w:semiHidden/>
    <w:rsid w:val="004718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121739">
      <w:bodyDiv w:val="1"/>
      <w:marLeft w:val="0"/>
      <w:marRight w:val="0"/>
      <w:marTop w:val="0"/>
      <w:marBottom w:val="0"/>
      <w:divBdr>
        <w:top w:val="none" w:sz="0" w:space="0" w:color="auto"/>
        <w:left w:val="none" w:sz="0" w:space="0" w:color="auto"/>
        <w:bottom w:val="none" w:sz="0" w:space="0" w:color="auto"/>
        <w:right w:val="none" w:sz="0" w:space="0" w:color="auto"/>
      </w:divBdr>
    </w:div>
    <w:div w:id="913318142">
      <w:bodyDiv w:val="1"/>
      <w:marLeft w:val="0"/>
      <w:marRight w:val="0"/>
      <w:marTop w:val="0"/>
      <w:marBottom w:val="0"/>
      <w:divBdr>
        <w:top w:val="none" w:sz="0" w:space="0" w:color="auto"/>
        <w:left w:val="none" w:sz="0" w:space="0" w:color="auto"/>
        <w:bottom w:val="none" w:sz="0" w:space="0" w:color="auto"/>
        <w:right w:val="none" w:sz="0" w:space="0" w:color="auto"/>
      </w:divBdr>
    </w:div>
    <w:div w:id="1141268467">
      <w:bodyDiv w:val="1"/>
      <w:marLeft w:val="0"/>
      <w:marRight w:val="0"/>
      <w:marTop w:val="0"/>
      <w:marBottom w:val="0"/>
      <w:divBdr>
        <w:top w:val="none" w:sz="0" w:space="0" w:color="auto"/>
        <w:left w:val="none" w:sz="0" w:space="0" w:color="auto"/>
        <w:bottom w:val="none" w:sz="0" w:space="0" w:color="auto"/>
        <w:right w:val="none" w:sz="0" w:space="0" w:color="auto"/>
      </w:divBdr>
    </w:div>
    <w:div w:id="144345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2386</Words>
  <Characters>13605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Commonwealth of MA</Company>
  <LinksUpToDate>false</LinksUpToDate>
  <CharactersWithSpaces>15960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dc:creator>
  <cp:lastModifiedBy>Cristello, Michele A. (DOR)</cp:lastModifiedBy>
  <cp:revision>3</cp:revision>
  <dcterms:created xsi:type="dcterms:W3CDTF">2020-07-13T15:00:00Z</dcterms:created>
  <dcterms:modified xsi:type="dcterms:W3CDTF">2020-07-13T15:02:00Z</dcterms:modified>
</cp:coreProperties>
</file>